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50"/>
        <w:ind w:firstLine="0"/>
        <w:rPr>
          <w:rFonts w:ascii="Times New Roman"/>
          <w:sz w:val="70"/>
        </w:rPr>
      </w:pPr>
    </w:p>
    <w:p>
      <w:pPr>
        <w:spacing w:before="1"/>
        <w:ind w:left="23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17A8E3"/>
          <w:spacing w:val="10"/>
          <w:w w:val="130"/>
          <w:sz w:val="70"/>
        </w:rPr>
        <w:t>Logan</w:t>
      </w:r>
      <w:r>
        <w:rPr>
          <w:rFonts w:ascii="Calibri"/>
          <w:b/>
          <w:color w:val="17A8E3"/>
          <w:spacing w:val="59"/>
          <w:w w:val="150"/>
          <w:sz w:val="70"/>
        </w:rPr>
        <w:t> </w:t>
      </w:r>
      <w:r>
        <w:rPr>
          <w:rFonts w:ascii="Calibri"/>
          <w:color w:val="17A8E3"/>
          <w:spacing w:val="6"/>
          <w:w w:val="130"/>
          <w:sz w:val="70"/>
        </w:rPr>
        <w:t>Hall</w:t>
      </w:r>
    </w:p>
    <w:p>
      <w:pPr>
        <w:spacing w:before="134"/>
        <w:ind w:left="154" w:right="0" w:firstLine="0"/>
        <w:jc w:val="left"/>
        <w:rPr>
          <w:rFonts w:ascii="Calibri"/>
          <w:sz w:val="26"/>
        </w:rPr>
      </w:pPr>
      <w:r>
        <w:rPr>
          <w:rFonts w:ascii="Calibri"/>
          <w:color w:val="17A8E3"/>
          <w:w w:val="125"/>
          <w:sz w:val="26"/>
        </w:rPr>
        <w:t>Real</w:t>
      </w:r>
      <w:r>
        <w:rPr>
          <w:rFonts w:ascii="Calibri"/>
          <w:color w:val="17A8E3"/>
          <w:spacing w:val="-13"/>
          <w:w w:val="125"/>
          <w:sz w:val="26"/>
        </w:rPr>
        <w:t> </w:t>
      </w:r>
      <w:r>
        <w:rPr>
          <w:rFonts w:ascii="Calibri"/>
          <w:color w:val="17A8E3"/>
          <w:w w:val="125"/>
          <w:sz w:val="26"/>
        </w:rPr>
        <w:t>Estate</w:t>
      </w:r>
      <w:r>
        <w:rPr>
          <w:rFonts w:ascii="Calibri"/>
          <w:color w:val="17A8E3"/>
          <w:spacing w:val="-12"/>
          <w:w w:val="125"/>
          <w:sz w:val="26"/>
        </w:rPr>
        <w:t> </w:t>
      </w:r>
      <w:r>
        <w:rPr>
          <w:rFonts w:ascii="Calibri"/>
          <w:color w:val="17A8E3"/>
          <w:spacing w:val="-2"/>
          <w:w w:val="125"/>
          <w:sz w:val="26"/>
        </w:rPr>
        <w:t>Lawyer</w:t>
      </w:r>
    </w:p>
    <w:p>
      <w:pPr>
        <w:spacing w:before="153"/>
        <w:ind w:left="154" w:right="0" w:firstLine="0"/>
        <w:jc w:val="left"/>
        <w:rPr>
          <w:sz w:val="13"/>
        </w:rPr>
      </w:pPr>
      <w:r>
        <w:rPr>
          <w:sz w:val="13"/>
        </w:rPr>
        <w:t>City,</w:t>
      </w:r>
      <w:r>
        <w:rPr>
          <w:spacing w:val="-2"/>
          <w:sz w:val="13"/>
        </w:rPr>
        <w:t> </w:t>
      </w:r>
      <w:r>
        <w:rPr>
          <w:sz w:val="13"/>
        </w:rPr>
        <w:t>ST</w:t>
      </w:r>
      <w:r>
        <w:rPr>
          <w:spacing w:val="16"/>
          <w:sz w:val="13"/>
        </w:rPr>
        <w:t> </w:t>
      </w:r>
      <w:r>
        <w:rPr>
          <w:sz w:val="9"/>
        </w:rPr>
        <w:t>•</w:t>
      </w:r>
      <w:r>
        <w:rPr>
          <w:spacing w:val="29"/>
          <w:sz w:val="9"/>
        </w:rPr>
        <w:t> </w:t>
      </w:r>
      <w:hyperlink r:id="rId5">
        <w:r>
          <w:rPr>
            <w:spacing w:val="-2"/>
            <w:sz w:val="13"/>
          </w:rPr>
          <w:t>logan.hall@email.com</w:t>
        </w:r>
      </w:hyperlink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spacing w:before="58"/>
        <w:ind w:firstLine="0"/>
      </w:pPr>
    </w:p>
    <w:p>
      <w:pPr>
        <w:pStyle w:val="Heading2"/>
      </w:pPr>
      <w:r>
        <w:rPr/>
        <w:t>Real</w:t>
      </w:r>
      <w:r>
        <w:rPr>
          <w:spacing w:val="14"/>
        </w:rPr>
        <w:t> </w:t>
      </w:r>
      <w:r>
        <w:rPr/>
        <w:t>estate</w:t>
      </w:r>
      <w:r>
        <w:rPr>
          <w:spacing w:val="21"/>
        </w:rPr>
        <w:t> </w:t>
      </w:r>
      <w:r>
        <w:rPr/>
        <w:t>attorney</w:t>
      </w:r>
      <w:r>
        <w:rPr>
          <w:spacing w:val="8"/>
        </w:rPr>
        <w:t> </w:t>
      </w:r>
      <w:r>
        <w:rPr/>
        <w:t>with</w:t>
      </w:r>
      <w:r>
        <w:rPr>
          <w:spacing w:val="21"/>
        </w:rPr>
        <w:t> </w:t>
      </w:r>
      <w:r>
        <w:rPr/>
        <w:t>experience</w:t>
      </w:r>
      <w:r>
        <w:rPr>
          <w:spacing w:val="21"/>
        </w:rPr>
        <w:t> </w:t>
      </w:r>
      <w:r>
        <w:rPr/>
        <w:t>in</w:t>
      </w:r>
      <w:r>
        <w:rPr>
          <w:spacing w:val="21"/>
        </w:rPr>
        <w:t> </w:t>
      </w:r>
      <w:r>
        <w:rPr/>
        <w:t>high-value</w:t>
      </w:r>
      <w:r>
        <w:rPr>
          <w:spacing w:val="20"/>
        </w:rPr>
        <w:t> </w:t>
      </w:r>
      <w:r>
        <w:rPr/>
        <w:t>property</w:t>
      </w:r>
      <w:r>
        <w:rPr>
          <w:spacing w:val="15"/>
        </w:rPr>
        <w:t> </w:t>
      </w:r>
      <w:r>
        <w:rPr>
          <w:spacing w:val="-2"/>
        </w:rPr>
        <w:t>transactions</w:t>
      </w:r>
    </w:p>
    <w:p>
      <w:pPr>
        <w:pStyle w:val="BodyText"/>
        <w:spacing w:line="290" w:lineRule="auto" w:before="21"/>
        <w:ind w:left="23" w:firstLine="0"/>
      </w:pPr>
      <w:r>
        <w:rPr/>
        <w:t>Real</w:t>
      </w:r>
      <w:r>
        <w:rPr>
          <w:spacing w:val="20"/>
        </w:rPr>
        <w:t> </w:t>
      </w:r>
      <w:r>
        <w:rPr/>
        <w:t>estate</w:t>
      </w:r>
      <w:r>
        <w:rPr>
          <w:spacing w:val="29"/>
        </w:rPr>
        <w:t> </w:t>
      </w:r>
      <w:r>
        <w:rPr/>
        <w:t>lawyer</w:t>
      </w:r>
      <w:r>
        <w:rPr>
          <w:spacing w:val="15"/>
        </w:rPr>
        <w:t> </w:t>
      </w:r>
      <w:r>
        <w:rPr/>
        <w:t>with</w:t>
      </w:r>
      <w:r>
        <w:rPr>
          <w:spacing w:val="29"/>
        </w:rPr>
        <w:t> </w:t>
      </w:r>
      <w:r>
        <w:rPr/>
        <w:t>7</w:t>
      </w:r>
      <w:r>
        <w:rPr>
          <w:spacing w:val="22"/>
        </w:rPr>
        <w:t> </w:t>
      </w:r>
      <w:r>
        <w:rPr/>
        <w:t>years</w:t>
      </w:r>
      <w:r>
        <w:rPr>
          <w:spacing w:val="29"/>
        </w:rPr>
        <w:t> </w:t>
      </w:r>
      <w:r>
        <w:rPr/>
        <w:t>of</w:t>
      </w:r>
      <w:r>
        <w:rPr>
          <w:spacing w:val="24"/>
        </w:rPr>
        <w:t> </w:t>
      </w:r>
      <w:r>
        <w:rPr/>
        <w:t>experience</w:t>
      </w:r>
      <w:r>
        <w:rPr>
          <w:spacing w:val="29"/>
        </w:rPr>
        <w:t> </w:t>
      </w:r>
      <w:r>
        <w:rPr/>
        <w:t>representing</w:t>
      </w:r>
      <w:r>
        <w:rPr>
          <w:spacing w:val="29"/>
        </w:rPr>
        <w:t> </w:t>
      </w:r>
      <w:r>
        <w:rPr/>
        <w:t>commercial</w:t>
      </w:r>
      <w:r>
        <w:rPr>
          <w:spacing w:val="20"/>
        </w:rPr>
        <w:t> </w:t>
      </w:r>
      <w:r>
        <w:rPr/>
        <w:t>developers,</w:t>
      </w:r>
      <w:r>
        <w:rPr>
          <w:spacing w:val="29"/>
        </w:rPr>
        <w:t> </w:t>
      </w:r>
      <w:r>
        <w:rPr/>
        <w:t>investors,</w:t>
      </w:r>
      <w:r>
        <w:rPr>
          <w:spacing w:val="29"/>
        </w:rPr>
        <w:t> </w:t>
      </w:r>
      <w:r>
        <w:rPr/>
        <w:t>and</w:t>
      </w:r>
      <w:r>
        <w:rPr>
          <w:spacing w:val="29"/>
        </w:rPr>
        <w:t> </w:t>
      </w:r>
      <w:r>
        <w:rPr/>
        <w:t>lenders</w:t>
      </w:r>
      <w:r>
        <w:rPr>
          <w:spacing w:val="29"/>
        </w:rPr>
        <w:t> </w:t>
      </w:r>
      <w:r>
        <w:rPr/>
        <w:t>in</w:t>
      </w:r>
      <w:r>
        <w:rPr>
          <w:spacing w:val="29"/>
        </w:rPr>
        <w:t> </w:t>
      </w:r>
      <w:r>
        <w:rPr/>
        <w:t>property</w:t>
      </w:r>
      <w:r>
        <w:rPr>
          <w:spacing w:val="22"/>
        </w:rPr>
        <w:t> </w:t>
      </w:r>
      <w:r>
        <w:rPr/>
        <w:t>acquisitions,</w:t>
      </w:r>
      <w:r>
        <w:rPr>
          <w:spacing w:val="29"/>
        </w:rPr>
        <w:t> </w:t>
      </w:r>
      <w:r>
        <w:rPr/>
        <w:t>leases, and disputes. Expert in zoning laws and contract drafting.</w:t>
      </w:r>
    </w:p>
    <w:p>
      <w:pPr>
        <w:pStyle w:val="BodyText"/>
        <w:spacing w:before="28"/>
        <w:ind w:firstLine="0"/>
      </w:pPr>
    </w:p>
    <w:p>
      <w:pPr>
        <w:pStyle w:val="Heading1"/>
      </w:pPr>
      <w:r>
        <w:rPr>
          <w:color w:val="17A8E3"/>
          <w:w w:val="130"/>
          <w:sz w:val="28"/>
        </w:rPr>
        <w:t>K</w:t>
      </w:r>
      <w:r>
        <w:rPr>
          <w:color w:val="17A8E3"/>
          <w:w w:val="130"/>
        </w:rPr>
        <w:t>ey</w:t>
      </w:r>
      <w:r>
        <w:rPr>
          <w:color w:val="17A8E3"/>
          <w:spacing w:val="12"/>
          <w:w w:val="130"/>
        </w:rPr>
        <w:t> </w:t>
      </w:r>
      <w:r>
        <w:rPr>
          <w:color w:val="17A8E3"/>
          <w:spacing w:val="-2"/>
          <w:w w:val="130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0" w:left="850" w:right="1133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29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Property</w:t>
      </w:r>
      <w:r>
        <w:rPr>
          <w:spacing w:val="24"/>
          <w:sz w:val="15"/>
        </w:rPr>
        <w:t> </w:t>
      </w:r>
      <w:r>
        <w:rPr>
          <w:spacing w:val="-5"/>
          <w:sz w:val="15"/>
        </w:rPr>
        <w:t>law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Title</w:t>
      </w:r>
      <w:r>
        <w:rPr>
          <w:spacing w:val="-6"/>
          <w:sz w:val="15"/>
        </w:rPr>
        <w:t> </w:t>
      </w:r>
      <w:r>
        <w:rPr>
          <w:spacing w:val="-2"/>
          <w:sz w:val="15"/>
        </w:rPr>
        <w:t>review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Real</w:t>
      </w:r>
      <w:r>
        <w:rPr>
          <w:spacing w:val="9"/>
          <w:sz w:val="15"/>
        </w:rPr>
        <w:t> </w:t>
      </w:r>
      <w:r>
        <w:rPr>
          <w:sz w:val="15"/>
        </w:rPr>
        <w:t>estate</w:t>
      </w:r>
      <w:r>
        <w:rPr>
          <w:spacing w:val="16"/>
          <w:sz w:val="15"/>
        </w:rPr>
        <w:t> </w:t>
      </w:r>
      <w:r>
        <w:rPr>
          <w:spacing w:val="-2"/>
          <w:sz w:val="15"/>
        </w:rPr>
        <w:t>litigation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29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pacing w:val="2"/>
          <w:sz w:val="15"/>
        </w:rPr>
        <w:t>Commercial</w:t>
      </w:r>
      <w:r>
        <w:rPr>
          <w:spacing w:val="31"/>
          <w:sz w:val="15"/>
        </w:rPr>
        <w:t> </w:t>
      </w:r>
      <w:r>
        <w:rPr>
          <w:spacing w:val="-2"/>
          <w:sz w:val="15"/>
        </w:rPr>
        <w:t>leasing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Land</w:t>
      </w:r>
      <w:r>
        <w:rPr>
          <w:spacing w:val="10"/>
          <w:w w:val="105"/>
          <w:sz w:val="15"/>
        </w:rPr>
        <w:t> </w:t>
      </w:r>
      <w:r>
        <w:rPr>
          <w:w w:val="105"/>
          <w:sz w:val="15"/>
        </w:rPr>
        <w:t>use</w:t>
      </w:r>
      <w:r>
        <w:rPr>
          <w:spacing w:val="11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11"/>
          <w:w w:val="105"/>
          <w:sz w:val="15"/>
        </w:rPr>
        <w:t> </w:t>
      </w:r>
      <w:r>
        <w:rPr>
          <w:spacing w:val="-2"/>
          <w:w w:val="105"/>
          <w:sz w:val="15"/>
        </w:rPr>
        <w:t>zoning</w:t>
      </w:r>
    </w:p>
    <w:p>
      <w:pPr>
        <w:pStyle w:val="ListParagraph"/>
        <w:spacing w:after="0" w:line="331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0" w:left="850" w:right="1133"/>
          <w:cols w:num="2" w:equalWidth="0">
            <w:col w:w="2151" w:space="1254"/>
            <w:col w:w="6532"/>
          </w:cols>
        </w:sectPr>
      </w:pPr>
    </w:p>
    <w:p>
      <w:pPr>
        <w:pStyle w:val="Heading1"/>
        <w:spacing w:before="17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A8E3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17a8e3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3724274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93.2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5819774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58.2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2114549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66.4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17A8E3"/>
          <w:w w:val="125"/>
          <w:sz w:val="28"/>
        </w:rPr>
        <w:t>P</w:t>
      </w:r>
      <w:r>
        <w:rPr>
          <w:color w:val="17A8E3"/>
          <w:w w:val="125"/>
        </w:rPr>
        <w:t>rofessional</w:t>
      </w:r>
      <w:r>
        <w:rPr>
          <w:color w:val="17A8E3"/>
          <w:spacing w:val="75"/>
          <w:w w:val="150"/>
        </w:rPr>
        <w:t> </w:t>
      </w:r>
      <w:r>
        <w:rPr>
          <w:color w:val="17A8E3"/>
          <w:spacing w:val="-2"/>
          <w:w w:val="130"/>
        </w:rPr>
        <w:t>Experience</w:t>
      </w:r>
    </w:p>
    <w:p>
      <w:pPr>
        <w:pStyle w:val="BodyText"/>
        <w:spacing w:line="290" w:lineRule="auto" w:before="249"/>
        <w:ind w:left="358" w:right="5508" w:firstLine="0"/>
      </w:pPr>
      <w:r>
        <w:rPr/>
        <w:t>Real Estate Counsel</w:t>
      </w:r>
      <w:r>
        <w:rPr>
          <w:spacing w:val="33"/>
        </w:rPr>
        <w:t> </w:t>
      </w:r>
      <w:r>
        <w:rPr>
          <w:w w:val="80"/>
        </w:rPr>
        <w:t>|</w:t>
      </w:r>
      <w:r>
        <w:rPr/>
        <w:t> Metro Title Group, Austin, TX February 2019 </w:t>
      </w:r>
      <w:r>
        <w:rPr>
          <w:w w:val="125"/>
        </w:rPr>
        <w:t>– </w:t>
      </w:r>
      <w:r>
        <w:rPr/>
        <w:t>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124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Draft</w:t>
      </w:r>
      <w:r>
        <w:rPr>
          <w:spacing w:val="30"/>
          <w:sz w:val="15"/>
        </w:rPr>
        <w:t> </w:t>
      </w:r>
      <w:r>
        <w:rPr>
          <w:sz w:val="15"/>
        </w:rPr>
        <w:t>and</w:t>
      </w:r>
      <w:r>
        <w:rPr>
          <w:spacing w:val="30"/>
          <w:sz w:val="15"/>
        </w:rPr>
        <w:t> </w:t>
      </w:r>
      <w:r>
        <w:rPr>
          <w:sz w:val="15"/>
        </w:rPr>
        <w:t>negotiate</w:t>
      </w:r>
      <w:r>
        <w:rPr>
          <w:spacing w:val="31"/>
          <w:sz w:val="15"/>
        </w:rPr>
        <w:t> </w:t>
      </w:r>
      <w:r>
        <w:rPr>
          <w:sz w:val="15"/>
        </w:rPr>
        <w:t>purchase</w:t>
      </w:r>
      <w:r>
        <w:rPr>
          <w:spacing w:val="30"/>
          <w:sz w:val="15"/>
        </w:rPr>
        <w:t> </w:t>
      </w:r>
      <w:r>
        <w:rPr>
          <w:sz w:val="15"/>
        </w:rPr>
        <w:t>and</w:t>
      </w:r>
      <w:r>
        <w:rPr>
          <w:spacing w:val="31"/>
          <w:sz w:val="15"/>
        </w:rPr>
        <w:t> </w:t>
      </w:r>
      <w:r>
        <w:rPr>
          <w:sz w:val="15"/>
        </w:rPr>
        <w:t>lease</w:t>
      </w:r>
      <w:r>
        <w:rPr>
          <w:spacing w:val="30"/>
          <w:sz w:val="15"/>
        </w:rPr>
        <w:t> </w:t>
      </w:r>
      <w:r>
        <w:rPr>
          <w:sz w:val="15"/>
        </w:rPr>
        <w:t>agreements</w:t>
      </w:r>
      <w:r>
        <w:rPr>
          <w:spacing w:val="31"/>
          <w:sz w:val="15"/>
        </w:rPr>
        <w:t> </w:t>
      </w:r>
      <w:r>
        <w:rPr>
          <w:sz w:val="15"/>
        </w:rPr>
        <w:t>for</w:t>
      </w:r>
      <w:r>
        <w:rPr>
          <w:spacing w:val="24"/>
          <w:sz w:val="15"/>
        </w:rPr>
        <w:t> </w:t>
      </w:r>
      <w:r>
        <w:rPr>
          <w:sz w:val="15"/>
        </w:rPr>
        <w:t>multi-million-dollar</w:t>
      </w:r>
      <w:r>
        <w:rPr>
          <w:spacing w:val="23"/>
          <w:sz w:val="15"/>
        </w:rPr>
        <w:t> </w:t>
      </w:r>
      <w:r>
        <w:rPr>
          <w:sz w:val="15"/>
        </w:rPr>
        <w:t>property</w:t>
      </w:r>
      <w:r>
        <w:rPr>
          <w:spacing w:val="24"/>
          <w:sz w:val="15"/>
        </w:rPr>
        <w:t> </w:t>
      </w:r>
      <w:r>
        <w:rPr>
          <w:spacing w:val="-2"/>
          <w:sz w:val="15"/>
        </w:rPr>
        <w:t>deals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Advise</w:t>
      </w:r>
      <w:r>
        <w:rPr>
          <w:spacing w:val="25"/>
          <w:sz w:val="15"/>
        </w:rPr>
        <w:t> </w:t>
      </w:r>
      <w:r>
        <w:rPr>
          <w:sz w:val="15"/>
        </w:rPr>
        <w:t>on</w:t>
      </w:r>
      <w:r>
        <w:rPr>
          <w:spacing w:val="25"/>
          <w:sz w:val="15"/>
        </w:rPr>
        <w:t> </w:t>
      </w:r>
      <w:r>
        <w:rPr>
          <w:sz w:val="15"/>
        </w:rPr>
        <w:t>zoning</w:t>
      </w:r>
      <w:r>
        <w:rPr>
          <w:spacing w:val="26"/>
          <w:sz w:val="15"/>
        </w:rPr>
        <w:t> </w:t>
      </w:r>
      <w:r>
        <w:rPr>
          <w:sz w:val="15"/>
        </w:rPr>
        <w:t>and</w:t>
      </w:r>
      <w:r>
        <w:rPr>
          <w:spacing w:val="25"/>
          <w:sz w:val="15"/>
        </w:rPr>
        <w:t> </w:t>
      </w:r>
      <w:r>
        <w:rPr>
          <w:sz w:val="15"/>
        </w:rPr>
        <w:t>permitting</w:t>
      </w:r>
      <w:r>
        <w:rPr>
          <w:spacing w:val="25"/>
          <w:sz w:val="15"/>
        </w:rPr>
        <w:t> </w:t>
      </w:r>
      <w:r>
        <w:rPr>
          <w:sz w:val="15"/>
        </w:rPr>
        <w:t>issues,</w:t>
      </w:r>
      <w:r>
        <w:rPr>
          <w:spacing w:val="26"/>
          <w:sz w:val="15"/>
        </w:rPr>
        <w:t> </w:t>
      </w:r>
      <w:r>
        <w:rPr>
          <w:sz w:val="15"/>
        </w:rPr>
        <w:t>helping</w:t>
      </w:r>
      <w:r>
        <w:rPr>
          <w:spacing w:val="25"/>
          <w:sz w:val="15"/>
        </w:rPr>
        <w:t> </w:t>
      </w:r>
      <w:r>
        <w:rPr>
          <w:sz w:val="15"/>
        </w:rPr>
        <w:t>clients</w:t>
      </w:r>
      <w:r>
        <w:rPr>
          <w:spacing w:val="26"/>
          <w:sz w:val="15"/>
        </w:rPr>
        <w:t> </w:t>
      </w:r>
      <w:r>
        <w:rPr>
          <w:sz w:val="15"/>
        </w:rPr>
        <w:t>reduce</w:t>
      </w:r>
      <w:r>
        <w:rPr>
          <w:spacing w:val="25"/>
          <w:sz w:val="15"/>
        </w:rPr>
        <w:t> </w:t>
      </w:r>
      <w:r>
        <w:rPr>
          <w:sz w:val="15"/>
        </w:rPr>
        <w:t>project</w:t>
      </w:r>
      <w:r>
        <w:rPr>
          <w:spacing w:val="25"/>
          <w:sz w:val="15"/>
        </w:rPr>
        <w:t> </w:t>
      </w:r>
      <w:r>
        <w:rPr>
          <w:sz w:val="15"/>
        </w:rPr>
        <w:t>delays</w:t>
      </w:r>
      <w:r>
        <w:rPr>
          <w:spacing w:val="26"/>
          <w:sz w:val="15"/>
        </w:rPr>
        <w:t> </w:t>
      </w:r>
      <w:r>
        <w:rPr>
          <w:sz w:val="15"/>
        </w:rPr>
        <w:t>by</w:t>
      </w:r>
      <w:r>
        <w:rPr>
          <w:spacing w:val="19"/>
          <w:sz w:val="15"/>
        </w:rPr>
        <w:t> </w:t>
      </w:r>
      <w:r>
        <w:rPr>
          <w:spacing w:val="-5"/>
          <w:sz w:val="15"/>
        </w:rPr>
        <w:t>30%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3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Review</w:t>
      </w:r>
      <w:r>
        <w:rPr>
          <w:spacing w:val="9"/>
          <w:sz w:val="15"/>
        </w:rPr>
        <w:t> </w:t>
      </w:r>
      <w:r>
        <w:rPr>
          <w:sz w:val="15"/>
        </w:rPr>
        <w:t>and</w:t>
      </w:r>
      <w:r>
        <w:rPr>
          <w:spacing w:val="15"/>
          <w:sz w:val="15"/>
        </w:rPr>
        <w:t> </w:t>
      </w:r>
      <w:r>
        <w:rPr>
          <w:sz w:val="15"/>
        </w:rPr>
        <w:t>clear</w:t>
      </w:r>
      <w:r>
        <w:rPr>
          <w:spacing w:val="10"/>
          <w:sz w:val="15"/>
        </w:rPr>
        <w:t> </w:t>
      </w:r>
      <w:r>
        <w:rPr>
          <w:sz w:val="15"/>
        </w:rPr>
        <w:t>title</w:t>
      </w:r>
      <w:r>
        <w:rPr>
          <w:spacing w:val="15"/>
          <w:sz w:val="15"/>
        </w:rPr>
        <w:t> </w:t>
      </w:r>
      <w:r>
        <w:rPr>
          <w:sz w:val="15"/>
        </w:rPr>
        <w:t>issues</w:t>
      </w:r>
      <w:r>
        <w:rPr>
          <w:spacing w:val="15"/>
          <w:sz w:val="15"/>
        </w:rPr>
        <w:t> </w:t>
      </w:r>
      <w:r>
        <w:rPr>
          <w:sz w:val="15"/>
        </w:rPr>
        <w:t>for</w:t>
      </w:r>
      <w:r>
        <w:rPr>
          <w:spacing w:val="10"/>
          <w:sz w:val="15"/>
        </w:rPr>
        <w:t> </w:t>
      </w:r>
      <w:r>
        <w:rPr>
          <w:spacing w:val="-2"/>
          <w:sz w:val="15"/>
        </w:rPr>
        <w:t>closings</w:t>
      </w:r>
    </w:p>
    <w:p>
      <w:pPr>
        <w:pStyle w:val="BodyText"/>
        <w:spacing w:line="290" w:lineRule="auto" w:before="148"/>
        <w:ind w:left="358" w:right="4231" w:firstLine="0"/>
      </w:pPr>
      <w:r>
        <w:rPr>
          <w:w w:val="105"/>
        </w:rPr>
        <w:t>Associate</w:t>
      </w:r>
      <w:r>
        <w:rPr>
          <w:spacing w:val="-5"/>
          <w:w w:val="105"/>
        </w:rPr>
        <w:t> </w:t>
      </w:r>
      <w:r>
        <w:rPr>
          <w:w w:val="105"/>
        </w:rPr>
        <w:t>Attorney</w:t>
      </w:r>
      <w:r>
        <w:rPr>
          <w:spacing w:val="-4"/>
          <w:w w:val="105"/>
        </w:rPr>
        <w:t> </w:t>
      </w:r>
      <w:r>
        <w:rPr>
          <w:w w:val="125"/>
        </w:rPr>
        <w:t>–</w:t>
      </w:r>
      <w:r>
        <w:rPr>
          <w:spacing w:val="-9"/>
          <w:w w:val="125"/>
        </w:rPr>
        <w:t> </w:t>
      </w:r>
      <w:r>
        <w:rPr>
          <w:w w:val="105"/>
        </w:rPr>
        <w:t>Real</w:t>
      </w:r>
      <w:r>
        <w:rPr>
          <w:spacing w:val="-5"/>
          <w:w w:val="105"/>
        </w:rPr>
        <w:t> </w:t>
      </w:r>
      <w:r>
        <w:rPr>
          <w:w w:val="105"/>
        </w:rPr>
        <w:t>Estate Law</w:t>
      </w:r>
      <w:r>
        <w:rPr>
          <w:spacing w:val="15"/>
          <w:w w:val="105"/>
        </w:rPr>
        <w:t> </w:t>
      </w:r>
      <w:r>
        <w:rPr>
          <w:w w:val="80"/>
        </w:rPr>
        <w:t>|</w:t>
      </w:r>
      <w:r>
        <w:rPr>
          <w:spacing w:val="15"/>
          <w:w w:val="105"/>
        </w:rPr>
        <w:t> </w:t>
      </w:r>
      <w:r>
        <w:rPr>
          <w:w w:val="105"/>
        </w:rPr>
        <w:t>Nelson &amp; Beck LLP,</w:t>
      </w:r>
      <w:r>
        <w:rPr>
          <w:spacing w:val="-5"/>
          <w:w w:val="105"/>
        </w:rPr>
        <w:t> </w:t>
      </w:r>
      <w:r>
        <w:rPr>
          <w:w w:val="105"/>
        </w:rPr>
        <w:t>Austin,</w:t>
      </w:r>
      <w:r>
        <w:rPr>
          <w:spacing w:val="-4"/>
          <w:w w:val="105"/>
        </w:rPr>
        <w:t> </w:t>
      </w:r>
      <w:r>
        <w:rPr>
          <w:w w:val="105"/>
        </w:rPr>
        <w:t>TX August 2016 </w:t>
      </w:r>
      <w:r>
        <w:rPr>
          <w:w w:val="125"/>
        </w:rPr>
        <w:t>– </w:t>
      </w:r>
      <w:r>
        <w:rPr>
          <w:w w:val="105"/>
        </w:rPr>
        <w:t>January 2019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40" w:lineRule="auto" w:before="124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Represented</w:t>
      </w:r>
      <w:r>
        <w:rPr>
          <w:spacing w:val="30"/>
          <w:sz w:val="15"/>
        </w:rPr>
        <w:t> </w:t>
      </w:r>
      <w:r>
        <w:rPr>
          <w:sz w:val="15"/>
        </w:rPr>
        <w:t>landlords</w:t>
      </w:r>
      <w:r>
        <w:rPr>
          <w:spacing w:val="31"/>
          <w:sz w:val="15"/>
        </w:rPr>
        <w:t> </w:t>
      </w:r>
      <w:r>
        <w:rPr>
          <w:sz w:val="15"/>
        </w:rPr>
        <w:t>and</w:t>
      </w:r>
      <w:r>
        <w:rPr>
          <w:spacing w:val="30"/>
          <w:sz w:val="15"/>
        </w:rPr>
        <w:t> </w:t>
      </w:r>
      <w:r>
        <w:rPr>
          <w:sz w:val="15"/>
        </w:rPr>
        <w:t>tenants</w:t>
      </w:r>
      <w:r>
        <w:rPr>
          <w:spacing w:val="31"/>
          <w:sz w:val="15"/>
        </w:rPr>
        <w:t> </w:t>
      </w:r>
      <w:r>
        <w:rPr>
          <w:sz w:val="15"/>
        </w:rPr>
        <w:t>in</w:t>
      </w:r>
      <w:r>
        <w:rPr>
          <w:spacing w:val="31"/>
          <w:sz w:val="15"/>
        </w:rPr>
        <w:t> </w:t>
      </w:r>
      <w:r>
        <w:rPr>
          <w:sz w:val="15"/>
        </w:rPr>
        <w:t>lease</w:t>
      </w:r>
      <w:r>
        <w:rPr>
          <w:spacing w:val="30"/>
          <w:sz w:val="15"/>
        </w:rPr>
        <w:t> </w:t>
      </w:r>
      <w:r>
        <w:rPr>
          <w:sz w:val="15"/>
        </w:rPr>
        <w:t>negotiations</w:t>
      </w:r>
      <w:r>
        <w:rPr>
          <w:spacing w:val="31"/>
          <w:sz w:val="15"/>
        </w:rPr>
        <w:t> </w:t>
      </w:r>
      <w:r>
        <w:rPr>
          <w:sz w:val="15"/>
        </w:rPr>
        <w:t>and</w:t>
      </w:r>
      <w:r>
        <w:rPr>
          <w:spacing w:val="30"/>
          <w:sz w:val="15"/>
        </w:rPr>
        <w:t> </w:t>
      </w:r>
      <w:r>
        <w:rPr>
          <w:sz w:val="15"/>
        </w:rPr>
        <w:t>housing</w:t>
      </w:r>
      <w:r>
        <w:rPr>
          <w:spacing w:val="31"/>
          <w:sz w:val="15"/>
        </w:rPr>
        <w:t> </w:t>
      </w:r>
      <w:r>
        <w:rPr>
          <w:sz w:val="15"/>
        </w:rPr>
        <w:t>court</w:t>
      </w:r>
      <w:r>
        <w:rPr>
          <w:spacing w:val="31"/>
          <w:sz w:val="15"/>
        </w:rPr>
        <w:t> </w:t>
      </w:r>
      <w:r>
        <w:rPr>
          <w:spacing w:val="-2"/>
          <w:sz w:val="15"/>
        </w:rPr>
        <w:t>proceedings</w:t>
      </w:r>
    </w:p>
    <w:p>
      <w:pPr>
        <w:pStyle w:val="Heading1"/>
        <w:spacing w:before="172"/>
      </w:pPr>
      <w:r>
        <w:rPr>
          <w:color w:val="17A8E3"/>
          <w:spacing w:val="-2"/>
          <w:w w:val="130"/>
          <w:sz w:val="28"/>
        </w:rPr>
        <w:t>E</w:t>
      </w:r>
      <w:r>
        <w:rPr>
          <w:color w:val="17A8E3"/>
          <w:spacing w:val="-2"/>
          <w:w w:val="130"/>
        </w:rPr>
        <w:t>ducation</w:t>
      </w:r>
    </w:p>
    <w:p>
      <w:pPr>
        <w:pStyle w:val="BodyText"/>
        <w:spacing w:line="600" w:lineRule="auto" w:before="264"/>
        <w:ind w:left="358" w:right="4827" w:firstLine="0"/>
      </w:pPr>
      <w:r>
        <w:rPr/>
        <w:t>Juris Doctor (J.D.)</w:t>
      </w:r>
      <w:r>
        <w:rPr>
          <w:spacing w:val="38"/>
        </w:rPr>
        <w:t> </w:t>
      </w:r>
      <w:r>
        <w:rPr>
          <w:w w:val="85"/>
        </w:rPr>
        <w:t>|</w:t>
      </w:r>
      <w:r>
        <w:rPr>
          <w:spacing w:val="38"/>
        </w:rPr>
        <w:t> </w:t>
      </w:r>
      <w:r>
        <w:rPr/>
        <w:t>University of Texas School of Law </w:t>
      </w:r>
      <w:r>
        <w:rPr>
          <w:w w:val="85"/>
        </w:rPr>
        <w:t>| </w:t>
      </w:r>
      <w:r>
        <w:rPr/>
        <w:t>2016 Bachelor of Arts in Urban Planning</w:t>
      </w:r>
      <w:r>
        <w:rPr>
          <w:spacing w:val="31"/>
        </w:rPr>
        <w:t> </w:t>
      </w:r>
      <w:r>
        <w:rPr>
          <w:w w:val="85"/>
        </w:rPr>
        <w:t>|</w:t>
      </w:r>
      <w:r>
        <w:rPr>
          <w:spacing w:val="31"/>
        </w:rPr>
        <w:t> </w:t>
      </w:r>
      <w:r>
        <w:rPr/>
        <w:t>Texas A&amp;M University </w:t>
      </w:r>
      <w:r>
        <w:rPr>
          <w:w w:val="85"/>
        </w:rPr>
        <w:t>|</w:t>
      </w:r>
      <w:r>
        <w:rPr/>
        <w:t> 2012</w:t>
      </w:r>
    </w:p>
    <w:sectPr>
      <w:type w:val="continuous"/>
      <w:pgSz w:w="11920" w:h="16860"/>
      <w:pgMar w:top="0" w:bottom="0" w:left="850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3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8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4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69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84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4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3"/>
      <w:outlineLvl w:val="2"/>
    </w:pPr>
    <w:rPr>
      <w:rFonts w:ascii="Trebuchet MS" w:hAnsi="Trebuchet MS" w:eastAsia="Trebuchet MS" w:cs="Trebuchet MS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1" w:lineRule="exact"/>
      <w:ind w:left="654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.hal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2026-02-28T12:12:23Z</dcterms:created>
  <dcterms:modified xsi:type="dcterms:W3CDTF">2026-02-28T12:12:23Z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