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26"/>
          <w:sz w:val="16"/>
        </w:rPr>
        <w:t> </w:t>
      </w:r>
      <w:r>
        <w:rPr>
          <w:color w:val="FFFFFF"/>
          <w:sz w:val="16"/>
        </w:rPr>
        <w:t>654-8765</w:t>
      </w:r>
      <w:r>
        <w:rPr>
          <w:color w:val="FFFFFF"/>
          <w:spacing w:val="43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8"/>
          <w:sz w:val="18"/>
        </w:rPr>
        <w:t> </w:t>
      </w:r>
      <w:hyperlink r:id="rId5">
        <w:r>
          <w:rPr>
            <w:color w:val="FFFFFF"/>
            <w:sz w:val="16"/>
          </w:rPr>
          <w:t>james.peterson@email.com</w:t>
        </w:r>
      </w:hyperlink>
      <w:r>
        <w:rPr>
          <w:color w:val="FFFFFF"/>
          <w:spacing w:val="43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8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3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7"/>
          <w:sz w:val="18"/>
        </w:rPr>
        <w:t> </w:t>
      </w:r>
      <w:r>
        <w:rPr>
          <w:color w:val="FFFFFF"/>
          <w:sz w:val="16"/>
        </w:rPr>
        <w:t>New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York,</w:t>
      </w:r>
      <w:r>
        <w:rPr>
          <w:color w:val="FFFFFF"/>
          <w:spacing w:val="26"/>
          <w:sz w:val="16"/>
        </w:rPr>
        <w:t> </w:t>
      </w:r>
      <w:r>
        <w:rPr>
          <w:color w:val="FFFFFF"/>
          <w:spacing w:val="-5"/>
          <w:sz w:val="16"/>
        </w:rPr>
        <w:t>NY</w:t>
      </w:r>
    </w:p>
    <w:p>
      <w:pPr>
        <w:pStyle w:val="BodyText"/>
        <w:spacing w:before="122"/>
        <w:rPr>
          <w:sz w:val="16"/>
        </w:rPr>
      </w:pPr>
    </w:p>
    <w:p>
      <w:pPr>
        <w:spacing w:before="0"/>
        <w:ind w:left="547" w:right="0" w:firstLine="0"/>
        <w:jc w:val="left"/>
        <w:rPr>
          <w:sz w:val="78"/>
        </w:rPr>
      </w:pPr>
      <w:r>
        <w:rPr>
          <w:b/>
          <w:color w:val="FFFFFF"/>
          <w:spacing w:val="9"/>
          <w:w w:val="105"/>
          <w:sz w:val="78"/>
        </w:rPr>
        <w:t>James</w:t>
      </w:r>
      <w:r>
        <w:rPr>
          <w:b/>
          <w:color w:val="FFFFFF"/>
          <w:spacing w:val="-26"/>
          <w:w w:val="105"/>
          <w:sz w:val="78"/>
        </w:rPr>
        <w:t> </w:t>
      </w:r>
      <w:r>
        <w:rPr>
          <w:color w:val="FFFFFF"/>
          <w:spacing w:val="8"/>
          <w:w w:val="105"/>
          <w:sz w:val="78"/>
        </w:rPr>
        <w:t>Peterson</w:t>
      </w:r>
    </w:p>
    <w:p>
      <w:pPr>
        <w:pStyle w:val="Heading2"/>
      </w:pPr>
      <w:r>
        <w:rPr>
          <w:color w:val="FFFFFF"/>
        </w:rPr>
        <w:t>Financial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Consultant</w:t>
      </w:r>
    </w:p>
    <w:p>
      <w:pPr>
        <w:spacing w:before="182"/>
        <w:ind w:left="547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Financial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consultant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driving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investment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strategies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wealth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-2"/>
          <w:sz w:val="16"/>
        </w:rPr>
        <w:t>management</w:t>
      </w:r>
    </w:p>
    <w:p>
      <w:pPr>
        <w:spacing w:line="271" w:lineRule="auto" w:before="24"/>
        <w:ind w:left="547" w:right="425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financial consultant with eight years of expertise in investment management, risk assessment, and financial planning. Passionate about helping clients achieve financial success.</w:t>
      </w:r>
    </w:p>
    <w:p>
      <w:pPr>
        <w:pStyle w:val="BodyText"/>
        <w:rPr>
          <w:sz w:val="28"/>
        </w:rPr>
      </w:pPr>
    </w:p>
    <w:p>
      <w:pPr>
        <w:pStyle w:val="BodyText"/>
        <w:spacing w:before="292"/>
        <w:rPr>
          <w:sz w:val="28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w w:val="105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  <w:spacing w:val="4"/>
          <w:w w:val="105"/>
        </w:rPr>
        <w:t>PROFESSIONAL</w:t>
      </w:r>
      <w:r>
        <w:rPr>
          <w:color w:val="FFFFFF"/>
          <w:spacing w:val="28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6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before="103"/>
        <w:ind w:left="435"/>
      </w:pPr>
      <w:r>
        <w:rPr>
          <w:w w:val="105"/>
        </w:rPr>
        <w:t>Master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before="122"/>
      </w:pPr>
    </w:p>
    <w:p>
      <w:pPr>
        <w:pStyle w:val="BodyText"/>
        <w:ind w:left="435"/>
      </w:pPr>
      <w:r>
        <w:rPr>
          <w:spacing w:val="2"/>
        </w:rPr>
        <w:t>Columbia</w:t>
      </w:r>
      <w:r>
        <w:rPr>
          <w:spacing w:val="38"/>
        </w:rPr>
        <w:t> </w:t>
      </w:r>
      <w:r>
        <w:rPr>
          <w:spacing w:val="-2"/>
        </w:rPr>
        <w:t>University</w:t>
      </w:r>
    </w:p>
    <w:p>
      <w:pPr>
        <w:pStyle w:val="BodyText"/>
        <w:spacing w:before="16"/>
        <w:ind w:left="435"/>
      </w:pPr>
      <w:r>
        <w:rPr/>
        <w:t>New</w:t>
      </w:r>
      <w:r>
        <w:rPr>
          <w:spacing w:val="9"/>
        </w:rPr>
        <w:t> </w:t>
      </w:r>
      <w:r>
        <w:rPr/>
        <w:t>York,</w:t>
      </w:r>
      <w:r>
        <w:rPr>
          <w:spacing w:val="10"/>
        </w:rPr>
        <w:t> </w:t>
      </w:r>
      <w:r>
        <w:rPr/>
        <w:t>NY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pStyle w:val="Heading1"/>
        <w:spacing w:before="1"/>
      </w:pPr>
      <w:r>
        <w:rPr>
          <w:color w:val="FFFFFF"/>
          <w:w w:val="105"/>
        </w:rPr>
        <w:t>KEY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BodyText"/>
        <w:spacing w:line="283" w:lineRule="auto" w:before="177"/>
        <w:ind w:left="44" w:right="2480"/>
      </w:pPr>
      <w:r>
        <w:rPr/>
        <w:br w:type="column"/>
      </w:r>
      <w:r>
        <w:rPr/>
        <w:t>Financial Consultant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Summit Wealth Advisors </w:t>
      </w:r>
      <w:r>
        <w:rPr>
          <w:w w:val="85"/>
        </w:rPr>
        <w:t>| </w:t>
      </w:r>
      <w:r>
        <w:rPr/>
        <w:t>New York, NY, May 2020 </w:t>
      </w:r>
      <w:r>
        <w:rPr>
          <w:w w:val="155"/>
        </w:rPr>
        <w:t>– </w:t>
      </w:r>
      <w:r>
        <w:rPr/>
        <w:t>Present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4" w:lineRule="auto" w:before="1" w:after="0"/>
        <w:ind w:left="528" w:right="300" w:hanging="298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36"/>
          <w:sz w:val="18"/>
        </w:rPr>
        <w:t> </w:t>
      </w:r>
      <w:r>
        <w:rPr>
          <w:sz w:val="18"/>
        </w:rPr>
        <w:t>investment</w:t>
      </w:r>
      <w:r>
        <w:rPr>
          <w:spacing w:val="36"/>
          <w:sz w:val="18"/>
        </w:rPr>
        <w:t> </w:t>
      </w:r>
      <w:r>
        <w:rPr>
          <w:sz w:val="18"/>
        </w:rPr>
        <w:t>portfolios</w:t>
      </w:r>
      <w:r>
        <w:rPr>
          <w:spacing w:val="36"/>
          <w:sz w:val="18"/>
        </w:rPr>
        <w:t> </w:t>
      </w:r>
      <w:r>
        <w:rPr>
          <w:sz w:val="18"/>
        </w:rPr>
        <w:t>for</w:t>
      </w:r>
      <w:r>
        <w:rPr>
          <w:spacing w:val="36"/>
          <w:sz w:val="18"/>
        </w:rPr>
        <w:t> </w:t>
      </w:r>
      <w:r>
        <w:rPr>
          <w:sz w:val="18"/>
        </w:rPr>
        <w:t>high-net-worth</w:t>
      </w:r>
      <w:r>
        <w:rPr>
          <w:spacing w:val="36"/>
          <w:sz w:val="18"/>
        </w:rPr>
        <w:t> </w:t>
      </w:r>
      <w:r>
        <w:rPr>
          <w:sz w:val="18"/>
        </w:rPr>
        <w:t>clients,</w:t>
      </w:r>
      <w:r>
        <w:rPr>
          <w:spacing w:val="36"/>
          <w:sz w:val="18"/>
        </w:rPr>
        <w:t> </w:t>
      </w:r>
      <w:r>
        <w:rPr>
          <w:sz w:val="18"/>
        </w:rPr>
        <w:t>increasing</w:t>
      </w:r>
      <w:r>
        <w:rPr>
          <w:spacing w:val="36"/>
          <w:sz w:val="18"/>
        </w:rPr>
        <w:t> </w:t>
      </w:r>
      <w:r>
        <w:rPr>
          <w:sz w:val="18"/>
        </w:rPr>
        <w:t>returns</w:t>
      </w:r>
      <w:r>
        <w:rPr>
          <w:spacing w:val="36"/>
          <w:sz w:val="18"/>
        </w:rPr>
        <w:t> </w:t>
      </w:r>
      <w:r>
        <w:rPr>
          <w:sz w:val="18"/>
        </w:rPr>
        <w:t>by</w:t>
      </w:r>
      <w:r>
        <w:rPr>
          <w:spacing w:val="36"/>
          <w:sz w:val="18"/>
        </w:rPr>
        <w:t> </w:t>
      </w:r>
      <w:r>
        <w:rPr>
          <w:sz w:val="18"/>
        </w:rPr>
        <w:t>an average of 12% annually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8" w:lineRule="auto" w:before="58" w:after="0"/>
        <w:ind w:left="528" w:right="551" w:hanging="298"/>
        <w:jc w:val="left"/>
        <w:rPr>
          <w:sz w:val="18"/>
        </w:rPr>
      </w:pPr>
      <w:r>
        <w:rPr>
          <w:sz w:val="18"/>
        </w:rPr>
        <w:t>Develop</w:t>
      </w:r>
      <w:r>
        <w:rPr>
          <w:spacing w:val="27"/>
          <w:sz w:val="18"/>
        </w:rPr>
        <w:t> </w:t>
      </w:r>
      <w:r>
        <w:rPr>
          <w:sz w:val="18"/>
        </w:rPr>
        <w:t>retirement</w:t>
      </w:r>
      <w:r>
        <w:rPr>
          <w:spacing w:val="27"/>
          <w:sz w:val="18"/>
        </w:rPr>
        <w:t> </w:t>
      </w:r>
      <w:r>
        <w:rPr>
          <w:sz w:val="18"/>
        </w:rPr>
        <w:t>plans</w:t>
      </w:r>
      <w:r>
        <w:rPr>
          <w:spacing w:val="27"/>
          <w:sz w:val="18"/>
        </w:rPr>
        <w:t> </w:t>
      </w:r>
      <w:r>
        <w:rPr>
          <w:sz w:val="18"/>
        </w:rPr>
        <w:t>that</w:t>
      </w:r>
      <w:r>
        <w:rPr>
          <w:spacing w:val="27"/>
          <w:sz w:val="18"/>
        </w:rPr>
        <w:t> </w:t>
      </w:r>
      <w:r>
        <w:rPr>
          <w:sz w:val="18"/>
        </w:rPr>
        <w:t>optimized</w:t>
      </w:r>
      <w:r>
        <w:rPr>
          <w:spacing w:val="27"/>
          <w:sz w:val="18"/>
        </w:rPr>
        <w:t> </w:t>
      </w:r>
      <w:r>
        <w:rPr>
          <w:sz w:val="18"/>
        </w:rPr>
        <w:t>savings</w:t>
      </w:r>
      <w:r>
        <w:rPr>
          <w:spacing w:val="27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z w:val="18"/>
        </w:rPr>
        <w:t>tax</w:t>
      </w:r>
      <w:r>
        <w:rPr>
          <w:spacing w:val="27"/>
          <w:sz w:val="18"/>
        </w:rPr>
        <w:t> </w:t>
      </w:r>
      <w:r>
        <w:rPr>
          <w:sz w:val="18"/>
        </w:rPr>
        <w:t>efficiency</w:t>
      </w:r>
      <w:r>
        <w:rPr>
          <w:spacing w:val="27"/>
          <w:sz w:val="18"/>
        </w:rPr>
        <w:t> </w:t>
      </w:r>
      <w:r>
        <w:rPr>
          <w:sz w:val="18"/>
        </w:rPr>
        <w:t>for</w:t>
      </w:r>
      <w:r>
        <w:rPr>
          <w:spacing w:val="27"/>
          <w:sz w:val="18"/>
        </w:rPr>
        <w:t> </w:t>
      </w:r>
      <w:r>
        <w:rPr>
          <w:sz w:val="18"/>
        </w:rPr>
        <w:t>over</w:t>
      </w:r>
      <w:r>
        <w:rPr>
          <w:spacing w:val="27"/>
          <w:sz w:val="18"/>
        </w:rPr>
        <w:t> </w:t>
      </w:r>
      <w:r>
        <w:rPr>
          <w:sz w:val="18"/>
        </w:rPr>
        <w:t>100 </w:t>
      </w:r>
      <w:r>
        <w:rPr>
          <w:spacing w:val="-2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240" w:lineRule="auto" w:before="17" w:after="0"/>
        <w:ind w:left="526" w:right="0" w:hanging="296"/>
        <w:jc w:val="left"/>
        <w:rPr>
          <w:sz w:val="18"/>
        </w:rPr>
      </w:pPr>
      <w:r>
        <w:rPr>
          <w:sz w:val="18"/>
        </w:rPr>
        <w:t>Provide</w:t>
      </w:r>
      <w:r>
        <w:rPr>
          <w:spacing w:val="39"/>
          <w:sz w:val="18"/>
        </w:rPr>
        <w:t> </w:t>
      </w:r>
      <w:r>
        <w:rPr>
          <w:sz w:val="18"/>
        </w:rPr>
        <w:t>risk</w:t>
      </w:r>
      <w:r>
        <w:rPr>
          <w:spacing w:val="39"/>
          <w:sz w:val="18"/>
        </w:rPr>
        <w:t> </w:t>
      </w:r>
      <w:r>
        <w:rPr>
          <w:sz w:val="18"/>
        </w:rPr>
        <w:t>assessment</w:t>
      </w:r>
      <w:r>
        <w:rPr>
          <w:spacing w:val="39"/>
          <w:sz w:val="18"/>
        </w:rPr>
        <w:t> </w:t>
      </w:r>
      <w:r>
        <w:rPr>
          <w:sz w:val="18"/>
        </w:rPr>
        <w:t>strategies,</w:t>
      </w:r>
      <w:r>
        <w:rPr>
          <w:spacing w:val="39"/>
          <w:sz w:val="18"/>
        </w:rPr>
        <w:t> </w:t>
      </w:r>
      <w:r>
        <w:rPr>
          <w:sz w:val="18"/>
        </w:rPr>
        <w:t>reducing</w:t>
      </w:r>
      <w:r>
        <w:rPr>
          <w:spacing w:val="39"/>
          <w:sz w:val="18"/>
        </w:rPr>
        <w:t> </w:t>
      </w:r>
      <w:r>
        <w:rPr>
          <w:sz w:val="18"/>
        </w:rPr>
        <w:t>financial</w:t>
      </w:r>
      <w:r>
        <w:rPr>
          <w:spacing w:val="39"/>
          <w:sz w:val="18"/>
        </w:rPr>
        <w:t> </w:t>
      </w:r>
      <w:r>
        <w:rPr>
          <w:sz w:val="18"/>
        </w:rPr>
        <w:t>exposure</w:t>
      </w:r>
      <w:r>
        <w:rPr>
          <w:spacing w:val="39"/>
          <w:sz w:val="18"/>
        </w:rPr>
        <w:t> </w:t>
      </w:r>
      <w:r>
        <w:rPr>
          <w:sz w:val="18"/>
        </w:rPr>
        <w:t>for</w:t>
      </w:r>
      <w:r>
        <w:rPr>
          <w:spacing w:val="39"/>
          <w:sz w:val="18"/>
        </w:rPr>
        <w:t> </w:t>
      </w:r>
      <w:r>
        <w:rPr>
          <w:sz w:val="18"/>
        </w:rPr>
        <w:t>corporate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clients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141"/>
          <w:cols w:num="2" w:equalWidth="0">
            <w:col w:w="2919" w:space="838"/>
            <w:col w:w="7881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4" w:lineRule="auto" w:before="134" w:after="0"/>
        <w:ind w:left="732" w:right="450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24124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003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860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717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43149"/>
                            <a:ext cx="9525" cy="458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81525">
                                <a:moveTo>
                                  <a:pt x="9524" y="4581524"/>
                                </a:moveTo>
                                <a:lnTo>
                                  <a:pt x="0" y="4581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81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955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812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669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6222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124324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1005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0862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1624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3734;top:3690;width:15;height:13170" id="docshape2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3" filled="true" fillcolor="#424242" stroked="false">
                  <v:fill type="solid"/>
                </v:rect>
                <v:rect style="position:absolute;left:3750;top:3975;width:8169;height:675" id="docshape4" filled="true" fillcolor="#00008b" stroked="false">
                  <v:fill type="solid"/>
                </v:rect>
                <v:shape style="position:absolute;left:9922;top:3937;width:735;height:705" id="docshape5" coordorigin="9922,3938" coordsize="735,705" path="m10302,4642l10278,4642,10266,4642,10206,4634,10138,4612,10076,4577,10022,4532,9978,4478,9946,4417,9927,4350,9922,4305,9922,4294,9922,4275,9932,4207,9955,4142,9991,4083,10039,4032,10096,3990,10160,3960,10230,3942,10278,3938,10302,3938,10374,3946,10442,3968,10504,4003,10558,4048,10602,4102,10634,4163,10653,4230,10657,4275,10657,4305,10648,4373,10625,4438,10589,4497,10541,4548,10484,4590,10420,4620,10350,4638,10314,4642,10302,4642xe" filled="true" fillcolor="#ffffff" stroked="false">
                  <v:path arrowok="t"/>
                  <v:fill type="solid"/>
                </v:shape>
                <v:shape style="position:absolute;left:9900;top:3915;width:780;height:748" id="docshape6" coordorigin="9900,3915" coordsize="780,748" path="m10316,4663l10264,4663,10239,4661,10201,4655,10189,4651,10165,4645,10153,4641,10129,4631,10117,4625,10095,4615,10084,4609,10063,4595,10052,4587,10033,4571,10023,4563,10005,4547,9997,4537,9980,4519,9973,4509,9959,4489,9952,4479,9940,4457,9935,4445,9925,4423,9920,4413,9913,4389,9910,4377,9905,4353,9903,4341,9901,4317,9900,4305,9900,4273,9901,4261,9903,4237,9905,4225,9910,4201,9913,4189,9920,4165,9925,4155,9935,4133,9940,4121,9952,4099,9959,4089,9973,4069,9980,4059,9997,4041,10005,4031,10023,4015,10033,4007,10052,3991,10063,3983,10084,3969,10095,3963,10117,3953,10129,3947,10153,3937,10165,3933,10189,3927,10201,3923,10239,3917,10264,3915,10316,3915,10341,3917,10379,3923,10391,3927,10415,3933,10427,3937,10451,3947,10463,3953,10476,3959,10267,3959,10245,3961,10201,3969,10179,3977,10168,3979,10148,3987,10137,3993,10117,4003,10108,4009,10089,4019,10080,4027,10062,4039,10054,4047,10038,4063,10030,4071,10016,4087,10009,4095,9997,4113,9991,4123,9980,4141,9976,4151,9967,4171,9963,4181,9957,4201,9954,4211,9949,4233,9948,4243,9946,4265,9945,4273,9945,4305,9946,4313,9948,4335,9949,4345,9954,4367,9957,4377,9963,4397,9967,4407,9976,4427,9980,4437,9991,4455,9997,4465,10009,4483,10016,4491,10030,4507,10038,4515,10054,4531,10062,4539,10080,4551,10089,4559,10108,4569,10117,4575,10137,4585,10148,4591,10168,4599,10179,4601,10201,4609,10245,4617,10267,4619,10476,4619,10463,4625,10451,4631,10427,4641,10415,4645,10391,4651,10379,4655,10341,4661,10316,4663xm10476,4619l10313,4619,10335,4617,10379,4609,10401,4601,10412,4599,10432,4591,10443,4585,10463,4575,10472,4569,10491,4559,10500,4551,10518,4539,10526,4531,10542,4515,10550,4507,10564,4491,10571,4483,10583,4465,10589,4455,10600,4437,10604,4427,10613,4407,10617,4397,10623,4377,10626,4367,10631,4345,10632,4335,10634,4313,10635,4305,10635,4273,10634,4265,10632,4243,10631,4233,10626,4211,10623,4201,10617,4181,10613,4171,10604,4151,10600,4141,10589,4123,10583,4113,10571,4095,10564,4087,10550,4071,10542,4063,10526,4047,10518,4039,10500,4027,10491,4019,10472,4009,10463,4003,10443,3993,10432,3987,10412,3979,10401,3977,10379,3969,10335,3961,10313,3959,10476,3959,10485,3963,10496,3969,10517,3983,10528,3991,10547,4007,10557,4015,10575,4031,10583,4041,10600,4059,10607,4069,10621,4089,10628,4099,10640,4121,10645,4133,10655,4155,10659,4165,10667,4189,10670,4201,10675,4225,10677,4237,10679,4261,10680,4273,10680,4305,10679,4317,10677,4341,10675,4353,10670,4377,10667,4389,10659,4413,10655,4423,10645,4445,10640,4457,10628,4479,10621,4489,10607,4509,10600,4519,10583,4537,10575,4547,10557,4563,10547,4571,10528,4587,10517,4595,10496,4609,10485,4615,10476,4619xe" filled="true" fillcolor="#00008b" stroked="false">
                  <v:path arrowok="t"/>
                  <v:fill type="solid"/>
                </v:shape>
                <v:shape style="position:absolute;left:10050;top:4050;width:480;height:480" type="#_x0000_t75" id="docshape7" stroked="false">
                  <v:imagedata r:id="rId6" o:title=""/>
                </v:shape>
                <v:rect style="position:absolute;left:3735;top:3690;width:15;height:7215" id="docshape8" filled="true" fillcolor="#000000" stroked="false">
                  <v:fill type="solid"/>
                </v:rect>
                <v:rect style="position:absolute;left:0;top:3930;width:2880;height:720" id="docshape9" filled="true" fillcolor="#00008b" stroked="false">
                  <v:fill type="solid"/>
                </v:rect>
                <v:shape style="position:absolute;left:2542;top:3907;width:735;height:690" id="docshape10" coordorigin="2542,3907" coordsize="735,690" path="m2926,4597l2894,4597,2882,4597,2812,4586,2745,4562,2685,4526,2633,4480,2591,4425,2562,4363,2545,4298,2542,4252,2543,4241,2552,4174,2575,4110,2610,4051,2657,4001,2714,3959,2778,3929,2847,3912,2894,3907,2926,3907,2997,3916,3064,3938,3126,3972,3179,4017,3223,4070,3254,4131,3273,4196,3277,4241,3277,4264,3268,4331,3245,4395,3210,4454,3163,4504,3106,4546,3042,4576,2973,4593,2926,4597xe" filled="true" fillcolor="#ffffff" stroked="false">
                  <v:path arrowok="t"/>
                  <v:fill type="solid"/>
                </v:shape>
                <v:shape style="position:absolute;left:2520;top:3885;width:780;height:734" id="docshape11" coordorigin="2520,3885" coordsize="780,734" path="m2939,4619l2881,4619,2856,4617,2843,4615,2818,4609,2806,4607,2747,4587,2735,4581,2713,4569,2702,4563,2681,4551,2671,4543,2651,4527,2642,4519,2624,4503,2616,4493,2600,4475,2592,4465,2578,4445,2572,4435,2560,4415,2554,4403,2545,4381,2540,4369,2533,4347,2530,4335,2525,4311,2523,4299,2521,4275,2520,4263,2520,4239,2521,4227,2523,4203,2525,4191,2530,4167,2540,4133,2545,4121,2554,4099,2572,4067,2578,4057,2592,4037,2600,4027,2616,4009,2624,4001,2642,3983,2651,3975,2671,3959,2681,3953,2702,3939,2713,3933,2735,3921,2747,3917,2770,3907,2782,3903,2806,3897,2818,3893,2856,3887,2881,3885,2939,3885,2964,3887,3002,3893,3014,3897,3038,3903,3050,3907,3073,3917,3085,3921,3100,3929,2884,3929,2861,3931,2818,3939,2796,3945,2765,3957,2755,3963,2735,3973,2726,3977,2707,3989,2698,3995,2681,4009,2673,4015,2657,4031,2649,4039,2635,4055,2629,4063,2616,4081,2611,4091,2600,4109,2587,4137,2583,4147,2576,4167,2574,4179,2569,4199,2568,4209,2566,4231,2565,4239,2565,4263,2566,4273,2568,4293,2569,4305,2574,4325,2576,4335,2583,4355,2587,4365,2595,4385,2600,4395,2611,4413,2616,4421,2629,4439,2635,4447,2649,4465,2657,4473,2673,4487,2681,4495,2698,4507,2707,4513,2726,4525,2735,4531,2755,4541,2796,4557,2818,4563,2861,4571,2884,4573,3100,4573,3085,4581,3073,4587,3014,4607,3002,4609,2977,4615,2964,4617,2939,4619xm3100,4573l2936,4573,2959,4571,3002,4563,3024,4557,3065,4541,3085,4531,3094,4525,3113,4513,3122,4507,3139,4495,3147,4487,3163,4473,3171,4465,3185,4447,3191,4439,3204,4421,3209,4413,3220,4395,3225,4385,3233,4365,3237,4355,3244,4335,3246,4325,3251,4305,3252,4293,3254,4273,3255,4263,3255,4239,3254,4231,3252,4209,3251,4199,3246,4179,3244,4167,3237,4147,3233,4137,3220,4109,3209,4091,3204,4081,3191,4063,3185,4055,3171,4039,3163,4031,3147,4015,3139,4009,3122,3995,3113,3989,3094,3977,3085,3973,3065,3963,3055,3957,3024,3945,3002,3939,2959,3931,2936,3929,3100,3929,3107,3933,3118,3939,3139,3953,3149,3959,3169,3975,3178,3983,3196,4001,3204,4009,3220,4027,3228,4037,3242,4057,3248,4067,3266,4099,3275,4121,3280,4133,3290,4167,3295,4191,3297,4203,3299,4227,3300,4239,3300,4263,3299,4273,3299,4275,3297,4299,3295,4311,3290,4335,3287,4347,3280,4369,3275,4381,3266,4403,3260,4415,3248,4435,3242,4445,3228,4465,3220,4475,3204,4493,3196,4503,3178,4519,3169,4527,3149,4543,3139,4551,3118,4563,3107,4569,3100,4573xe" filled="true" fillcolor="#00008b" stroked="false">
                  <v:path arrowok="t"/>
                  <v:fill type="solid"/>
                </v:shape>
                <v:shape style="position:absolute;left:2670;top:4035;width:480;height:435" type="#_x0000_t75" id="docshape12" stroked="false">
                  <v:imagedata r:id="rId7" o:title=""/>
                </v:shape>
                <v:rect style="position:absolute;left:0;top:6495;width:2880;height:720" id="docshape13" filled="true" fillcolor="#00008b" stroked="false">
                  <v:fill type="solid"/>
                </v:rect>
                <v:shape style="position:absolute;left:2542;top:6457;width:735;height:705" id="docshape14" coordorigin="2542,6458" coordsize="735,705" path="m2922,7162l2898,7162,2886,7162,2826,7154,2758,7132,2696,7097,2642,7052,2598,6998,2566,6937,2547,6870,2542,6814,2543,6795,2552,6727,2575,6662,2611,6603,2659,6552,2716,6510,2780,6480,2850,6462,2898,6458,2922,6458,2994,6466,3062,6488,3124,6523,3178,6568,3222,6622,3254,6683,3273,6750,3277,6795,3277,6825,3268,6893,3245,6958,3209,7017,3161,7068,3104,7110,3040,7140,2970,7158,2922,7162xe" filled="true" fillcolor="#ffffff" stroked="false">
                  <v:path arrowok="t"/>
                  <v:fill type="solid"/>
                </v:shape>
                <v:shape style="position:absolute;left:2520;top:6435;width:780;height:748" id="docshape15" coordorigin="2520,6435" coordsize="780,748" path="m2936,7183l2884,7183,2859,7181,2821,7175,2809,7171,2785,7165,2773,7161,2749,7151,2737,7145,2715,7135,2704,7129,2683,7115,2672,7107,2653,7091,2643,7083,2625,7067,2617,7057,2600,7039,2593,7029,2579,7009,2572,6999,2560,6977,2555,6965,2545,6943,2541,6933,2533,6909,2530,6897,2525,6873,2523,6861,2521,6837,2520,6825,2520,6793,2521,6781,2523,6757,2525,6745,2530,6721,2533,6709,2541,6685,2545,6675,2555,6653,2560,6641,2572,6619,2579,6609,2593,6589,2600,6579,2617,6561,2625,6551,2643,6535,2653,6527,2672,6511,2683,6503,2704,6489,2715,6483,2737,6473,2749,6467,2773,6457,2785,6453,2809,6447,2821,6443,2859,6437,2884,6435,2936,6435,2961,6437,2999,6443,3011,6447,3035,6453,3047,6457,3071,6467,3083,6473,3096,6479,2887,6479,2865,6481,2821,6489,2799,6497,2788,6499,2768,6507,2757,6513,2737,6523,2728,6529,2709,6539,2700,6547,2682,6559,2674,6567,2658,6583,2650,6591,2636,6607,2629,6615,2617,6633,2611,6643,2600,6661,2596,6671,2587,6691,2583,6701,2577,6721,2574,6731,2569,6753,2568,6763,2566,6785,2565,6793,2565,6825,2566,6833,2568,6855,2569,6865,2574,6887,2577,6897,2583,6917,2587,6927,2596,6947,2600,6957,2611,6975,2617,6985,2629,7003,2636,7011,2650,7027,2658,7035,2674,7051,2682,7059,2700,7071,2709,7079,2728,7089,2737,7095,2757,7105,2768,7111,2788,7119,2799,7121,2821,7129,2865,7137,2887,7139,3096,7139,3083,7145,3071,7151,3047,7161,3035,7165,3011,7171,2999,7175,2961,7181,2936,7183xm3096,7139l2933,7139,2955,7137,2999,7129,3021,7121,3032,7119,3052,7111,3063,7105,3083,7095,3092,7089,3111,7079,3120,7071,3138,7059,3146,7051,3162,7035,3170,7027,3184,7011,3191,7003,3203,6985,3209,6975,3220,6957,3224,6947,3233,6927,3237,6917,3243,6897,3246,6887,3251,6865,3252,6855,3254,6833,3255,6825,3255,6793,3254,6785,3252,6763,3251,6753,3246,6731,3243,6721,3237,6701,3233,6691,3224,6671,3220,6661,3209,6643,3203,6633,3191,6615,3184,6607,3170,6591,3162,6583,3146,6567,3138,6559,3120,6547,3111,6539,3092,6529,3083,6523,3063,6513,3052,6507,3032,6499,3021,6497,2999,6489,2955,6481,2933,6479,3096,6479,3105,6483,3116,6489,3137,6503,3148,6511,3167,6527,3177,6535,3195,6551,3203,6561,3220,6579,3227,6589,3241,6609,3248,6619,3260,6641,3265,6653,3275,6675,3279,6685,3287,6709,3290,6721,3295,6745,3297,6757,3299,6781,3300,6793,3300,6825,3299,6837,3297,6861,3295,6873,3290,6897,3287,6909,3279,6933,3275,6943,3265,6965,3260,6977,3248,6999,3241,7009,3227,7029,3220,7039,3203,7057,3195,7067,3177,7083,3167,7091,3148,7107,3137,7115,3116,7129,3105,7135,3096,7139xe" filled="true" fillcolor="#00008b" stroked="false">
                  <v:path arrowok="t"/>
                  <v:fill type="solid"/>
                </v:shape>
                <v:shape style="position:absolute;left:2670;top:655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Wealth management and retirement planning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8" w:lineRule="auto" w:before="59" w:after="0"/>
        <w:ind w:left="732" w:right="421" w:hanging="298"/>
        <w:jc w:val="left"/>
        <w:rPr>
          <w:sz w:val="18"/>
        </w:rPr>
      </w:pPr>
      <w:r>
        <w:rPr>
          <w:sz w:val="18"/>
        </w:rPr>
        <w:t>Financial forecasting and </w:t>
      </w:r>
      <w:r>
        <w:rPr>
          <w:spacing w:val="-2"/>
          <w:sz w:val="18"/>
        </w:rPr>
        <w:t>budgeting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8" w:lineRule="auto" w:before="40" w:after="0"/>
        <w:ind w:left="732" w:right="317" w:hanging="298"/>
        <w:jc w:val="left"/>
        <w:rPr>
          <w:sz w:val="18"/>
        </w:rPr>
      </w:pPr>
      <w:r>
        <w:rPr>
          <w:sz w:val="18"/>
        </w:rPr>
        <w:t>Risk analysis and portfolio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4" w:lineRule="auto" w:before="72" w:after="0"/>
        <w:ind w:left="732" w:right="0" w:hanging="298"/>
        <w:jc w:val="left"/>
        <w:rPr>
          <w:sz w:val="18"/>
        </w:rPr>
      </w:pPr>
      <w:r>
        <w:rPr>
          <w:w w:val="105"/>
          <w:sz w:val="18"/>
        </w:rPr>
        <w:t>Investment strategy and asset </w:t>
      </w:r>
      <w:r>
        <w:rPr>
          <w:spacing w:val="-2"/>
          <w:w w:val="105"/>
          <w:sz w:val="18"/>
        </w:rPr>
        <w:t>allocation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8" w:lineRule="auto" w:before="58" w:after="0"/>
        <w:ind w:left="732" w:right="416" w:hanging="298"/>
        <w:jc w:val="left"/>
        <w:rPr>
          <w:sz w:val="18"/>
        </w:rPr>
      </w:pPr>
      <w:r>
        <w:rPr>
          <w:sz w:val="18"/>
        </w:rPr>
        <w:t>Compliance and financial </w:t>
      </w:r>
      <w:r>
        <w:rPr>
          <w:spacing w:val="-2"/>
          <w:sz w:val="18"/>
        </w:rPr>
        <w:t>regulations</w:t>
      </w:r>
    </w:p>
    <w:p>
      <w:pPr>
        <w:pStyle w:val="BodyText"/>
        <w:spacing w:line="283" w:lineRule="auto" w:before="155"/>
        <w:ind w:left="435" w:right="2790"/>
      </w:pPr>
      <w:r>
        <w:rPr/>
        <w:br w:type="column"/>
      </w:r>
      <w:r>
        <w:rPr/>
        <w:t>Investment Analyst </w:t>
      </w:r>
      <w:r>
        <w:rPr>
          <w:w w:val="85"/>
          <w:position w:val="1"/>
        </w:rPr>
        <w:t>| </w:t>
      </w:r>
      <w:r>
        <w:rPr/>
        <w:t>Capital Growth Partners </w:t>
      </w:r>
      <w:r>
        <w:rPr>
          <w:w w:val="85"/>
        </w:rPr>
        <w:t>| </w:t>
      </w:r>
      <w:r>
        <w:rPr/>
        <w:t>Boston, MA, June 2015 </w:t>
      </w:r>
      <w:r>
        <w:rPr>
          <w:w w:val="155"/>
        </w:rPr>
        <w:t>– </w:t>
      </w:r>
      <w:r>
        <w:rPr/>
        <w:t>April 2020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204" w:lineRule="auto" w:before="0" w:after="0"/>
        <w:ind w:left="918" w:right="183" w:hanging="298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39"/>
          <w:sz w:val="18"/>
        </w:rPr>
        <w:t> </w:t>
      </w:r>
      <w:r>
        <w:rPr>
          <w:sz w:val="18"/>
        </w:rPr>
        <w:t>market</w:t>
      </w:r>
      <w:r>
        <w:rPr>
          <w:spacing w:val="39"/>
          <w:sz w:val="18"/>
        </w:rPr>
        <w:t> </w:t>
      </w:r>
      <w:r>
        <w:rPr>
          <w:sz w:val="18"/>
        </w:rPr>
        <w:t>research</w:t>
      </w:r>
      <w:r>
        <w:rPr>
          <w:spacing w:val="39"/>
          <w:sz w:val="18"/>
        </w:rPr>
        <w:t> </w:t>
      </w:r>
      <w:r>
        <w:rPr>
          <w:sz w:val="18"/>
        </w:rPr>
        <w:t>and</w:t>
      </w:r>
      <w:r>
        <w:rPr>
          <w:spacing w:val="39"/>
          <w:sz w:val="18"/>
        </w:rPr>
        <w:t> </w:t>
      </w:r>
      <w:r>
        <w:rPr>
          <w:sz w:val="18"/>
        </w:rPr>
        <w:t>identified</w:t>
      </w:r>
      <w:r>
        <w:rPr>
          <w:spacing w:val="39"/>
          <w:sz w:val="18"/>
        </w:rPr>
        <w:t> </w:t>
      </w:r>
      <w:r>
        <w:rPr>
          <w:sz w:val="18"/>
        </w:rPr>
        <w:t>investment</w:t>
      </w:r>
      <w:r>
        <w:rPr>
          <w:spacing w:val="39"/>
          <w:sz w:val="18"/>
        </w:rPr>
        <w:t> </w:t>
      </w:r>
      <w:r>
        <w:rPr>
          <w:sz w:val="18"/>
        </w:rPr>
        <w:t>opportunities,</w:t>
      </w:r>
      <w:r>
        <w:rPr>
          <w:spacing w:val="39"/>
          <w:sz w:val="18"/>
        </w:rPr>
        <w:t> </w:t>
      </w:r>
      <w:r>
        <w:rPr>
          <w:sz w:val="18"/>
        </w:rPr>
        <w:t>boosting</w:t>
      </w:r>
      <w:r>
        <w:rPr>
          <w:spacing w:val="39"/>
          <w:sz w:val="18"/>
        </w:rPr>
        <w:t> </w:t>
      </w:r>
      <w:r>
        <w:rPr>
          <w:sz w:val="18"/>
        </w:rPr>
        <w:t>client portfolio growth by 15%</w:t>
      </w:r>
    </w:p>
    <w:p>
      <w:pPr>
        <w:pStyle w:val="ListParagraph"/>
        <w:numPr>
          <w:ilvl w:val="2"/>
          <w:numId w:val="1"/>
        </w:numPr>
        <w:tabs>
          <w:tab w:pos="917" w:val="left" w:leader="none"/>
        </w:tabs>
        <w:spacing w:line="343" w:lineRule="exact" w:before="35" w:after="0"/>
        <w:ind w:left="917" w:right="0" w:hanging="296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27"/>
          <w:sz w:val="18"/>
        </w:rPr>
        <w:t> </w:t>
      </w:r>
      <w:r>
        <w:rPr>
          <w:sz w:val="18"/>
        </w:rPr>
        <w:t>financial</w:t>
      </w:r>
      <w:r>
        <w:rPr>
          <w:spacing w:val="27"/>
          <w:sz w:val="18"/>
        </w:rPr>
        <w:t> </w:t>
      </w:r>
      <w:r>
        <w:rPr>
          <w:sz w:val="18"/>
        </w:rPr>
        <w:t>models</w:t>
      </w:r>
      <w:r>
        <w:rPr>
          <w:spacing w:val="28"/>
          <w:sz w:val="18"/>
        </w:rPr>
        <w:t> </w:t>
      </w:r>
      <w:r>
        <w:rPr>
          <w:sz w:val="18"/>
        </w:rPr>
        <w:t>to</w:t>
      </w:r>
      <w:r>
        <w:rPr>
          <w:spacing w:val="27"/>
          <w:sz w:val="18"/>
        </w:rPr>
        <w:t> </w:t>
      </w:r>
      <w:r>
        <w:rPr>
          <w:sz w:val="18"/>
        </w:rPr>
        <w:t>analyze</w:t>
      </w:r>
      <w:r>
        <w:rPr>
          <w:spacing w:val="28"/>
          <w:sz w:val="18"/>
        </w:rPr>
        <w:t> </w:t>
      </w:r>
      <w:r>
        <w:rPr>
          <w:sz w:val="18"/>
        </w:rPr>
        <w:t>risk</w:t>
      </w:r>
      <w:r>
        <w:rPr>
          <w:spacing w:val="27"/>
          <w:sz w:val="18"/>
        </w:rPr>
        <w:t> </w:t>
      </w:r>
      <w:r>
        <w:rPr>
          <w:sz w:val="18"/>
        </w:rPr>
        <w:t>factors</w:t>
      </w:r>
      <w:r>
        <w:rPr>
          <w:spacing w:val="28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z w:val="18"/>
        </w:rPr>
        <w:t>forecast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returns</w:t>
      </w: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204" w:lineRule="auto" w:before="26" w:after="0"/>
        <w:ind w:left="918" w:right="955" w:hanging="298"/>
        <w:jc w:val="left"/>
        <w:rPr>
          <w:sz w:val="18"/>
        </w:rPr>
      </w:pPr>
      <w:r>
        <w:rPr>
          <w:w w:val="105"/>
          <w:sz w:val="18"/>
        </w:rPr>
        <w:t>Assisted in corporate financial planning, leading to a 10% cost reduction in investment expenses</w:t>
      </w:r>
    </w:p>
    <w:sectPr>
      <w:type w:val="continuous"/>
      <w:pgSz w:w="11920" w:h="16860"/>
      <w:pgMar w:top="400" w:bottom="280" w:left="141" w:right="141"/>
      <w:cols w:num="2" w:equalWidth="0">
        <w:col w:w="3326" w:space="40"/>
        <w:col w:w="82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3"/>
      <w:ind w:left="547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8"/>
      <w:ind w:left="732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.pet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2026-02-27T13:28:41Z</dcterms:created>
  <dcterms:modified xsi:type="dcterms:W3CDTF">2026-02-27T13:28:41Z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