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2"/>
        <w:rPr>
          <w:rFonts w:ascii="Times New Roman"/>
        </w:rPr>
      </w:pPr>
    </w:p>
    <w:p>
      <w:pPr>
        <w:pStyle w:val="Heading1"/>
      </w:pPr>
      <w:r>
        <w:rPr>
          <w:smallCaps/>
          <w:color w:val="8B3C4A"/>
          <w:w w:val="130"/>
        </w:rPr>
        <w:t>Personal</w:t>
      </w:r>
      <w:r>
        <w:rPr>
          <w:smallCaps/>
          <w:color w:val="8B3C4A"/>
          <w:spacing w:val="35"/>
          <w:w w:val="130"/>
        </w:rPr>
        <w:t> </w:t>
      </w:r>
      <w:r>
        <w:rPr>
          <w:smallCaps/>
          <w:color w:val="8B3C4A"/>
          <w:spacing w:val="-2"/>
          <w:w w:val="125"/>
        </w:rPr>
        <w:t>information</w:t>
      </w:r>
    </w:p>
    <w:p>
      <w:pPr>
        <w:spacing w:before="91"/>
        <w:ind w:left="100" w:right="263" w:firstLine="0"/>
        <w:jc w:val="center"/>
        <w:rPr>
          <w:rFonts w:ascii="Calibri"/>
          <w:sz w:val="70"/>
        </w:rPr>
      </w:pPr>
      <w:r>
        <w:rPr/>
        <w:br w:type="column"/>
      </w: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spacing w:before="74"/>
        <w:ind w:left="100" w:right="263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Residential</w:t>
      </w:r>
      <w:r>
        <w:rPr>
          <w:rFonts w:ascii="Calibri"/>
          <w:b/>
          <w:color w:val="FFFFFF"/>
          <w:spacing w:val="34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Real</w:t>
      </w:r>
      <w:r>
        <w:rPr>
          <w:rFonts w:ascii="Calibri"/>
          <w:b/>
          <w:color w:val="FFFFFF"/>
          <w:spacing w:val="35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Estate</w:t>
      </w:r>
      <w:r>
        <w:rPr>
          <w:rFonts w:ascii="Calibri"/>
          <w:b/>
          <w:color w:val="FFFFFF"/>
          <w:spacing w:val="35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Agent</w:t>
      </w:r>
    </w:p>
    <w:p>
      <w:pPr>
        <w:pStyle w:val="Heading2"/>
      </w:pPr>
      <w:r>
        <w:rPr>
          <w:color w:val="FFFFFF"/>
          <w:w w:val="105"/>
        </w:rPr>
        <w:t>Experienced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15"/>
          <w:w w:val="105"/>
        </w:rPr>
        <w:t> </w:t>
      </w:r>
      <w:r>
        <w:rPr>
          <w:color w:val="FFFFFF"/>
          <w:w w:val="105"/>
        </w:rPr>
        <w:t>Agent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neighborhood</w:t>
      </w:r>
      <w:r>
        <w:rPr>
          <w:color w:val="FFFFFF"/>
          <w:spacing w:val="35"/>
          <w:w w:val="105"/>
        </w:rPr>
        <w:t> </w:t>
      </w:r>
      <w:r>
        <w:rPr>
          <w:color w:val="FFFFFF"/>
          <w:spacing w:val="-2"/>
          <w:w w:val="105"/>
        </w:rPr>
        <w:t>insights</w:t>
      </w:r>
    </w:p>
    <w:p>
      <w:pPr>
        <w:pStyle w:val="BodyText"/>
        <w:spacing w:line="266" w:lineRule="auto" w:before="136"/>
        <w:ind w:left="100" w:right="252"/>
        <w:jc w:val="center"/>
      </w:pPr>
      <w:r>
        <w:rPr>
          <w:color w:val="FFFFFF"/>
          <w:w w:val="105"/>
        </w:rPr>
        <w:t>Residential Real Estate Agent with over seven years of experience helping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families buy and sell homes in fast-moving suburban markets. Skilled in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managing buyer expectations, coordinating inspections, and negotiating on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behalf of clients. Known for creating community-specific listing strategies that drive high engagement.</w:t>
      </w:r>
    </w:p>
    <w:p>
      <w:pPr>
        <w:pStyle w:val="BodyText"/>
        <w:spacing w:after="0" w:line="266" w:lineRule="auto"/>
        <w:jc w:val="center"/>
        <w:sectPr>
          <w:type w:val="continuous"/>
          <w:pgSz w:w="11920" w:h="16860"/>
          <w:pgMar w:top="740" w:bottom="280" w:left="141" w:right="141"/>
          <w:cols w:num="2" w:equalWidth="0">
            <w:col w:w="2644" w:space="1769"/>
            <w:col w:w="7225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(555)</w:t>
      </w:r>
      <w:r>
        <w:rPr>
          <w:color w:val="2E2929"/>
          <w:spacing w:val="2"/>
        </w:rPr>
        <w:t> </w:t>
      </w:r>
      <w:r>
        <w:rPr>
          <w:color w:val="2E2929"/>
          <w:spacing w:val="-2"/>
        </w:rPr>
        <w:t>812-</w:t>
      </w:r>
      <w:r>
        <w:rPr>
          <w:color w:val="2E2929"/>
          <w:spacing w:val="-4"/>
        </w:rPr>
        <w:t>4455</w:t>
      </w:r>
    </w:p>
    <w:p>
      <w:pPr>
        <w:pStyle w:val="BodyText"/>
        <w:spacing w:before="76"/>
      </w:pPr>
    </w:p>
    <w:p>
      <w:pPr>
        <w:pStyle w:val="BodyText"/>
        <w:spacing w:line="585" w:lineRule="auto" w:before="1"/>
        <w:ind w:left="1048"/>
      </w:pPr>
      <w:hyperlink r:id="rId5">
        <w:r>
          <w:rPr>
            <w:color w:val="2E2929"/>
            <w:spacing w:val="-2"/>
            <w:w w:val="105"/>
          </w:rPr>
          <w:t>loganhall@email.com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</w:pPr>
      <w:r>
        <w:rPr>
          <w:smallCaps/>
          <w:color w:val="8B3C4A"/>
          <w:w w:val="140"/>
        </w:rPr>
        <w:t>Key</w:t>
      </w:r>
      <w:r>
        <w:rPr>
          <w:smallCaps/>
          <w:color w:val="8B3C4A"/>
          <w:spacing w:val="-11"/>
          <w:w w:val="140"/>
        </w:rPr>
        <w:t> </w:t>
      </w:r>
      <w:r>
        <w:rPr>
          <w:smallCaps/>
          <w:color w:val="8B3C4A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372" w:lineRule="auto"/>
        <w:ind w:left="769"/>
      </w:pPr>
      <w:r>
        <w:rPr>
          <w:w w:val="105"/>
        </w:rPr>
        <w:t>Buyer</w:t>
      </w:r>
      <w:r>
        <w:rPr>
          <w:spacing w:val="-3"/>
          <w:w w:val="105"/>
        </w:rPr>
        <w:t> </w:t>
      </w:r>
      <w:r>
        <w:rPr>
          <w:w w:val="105"/>
        </w:rPr>
        <w:t>representation</w:t>
      </w:r>
      <w:r>
        <w:rPr>
          <w:spacing w:val="80"/>
          <w:w w:val="105"/>
        </w:rPr>
        <w:t> </w:t>
      </w:r>
      <w:r>
        <w:rPr>
          <w:w w:val="105"/>
        </w:rPr>
        <w:t>Closing</w:t>
      </w:r>
      <w:r>
        <w:rPr>
          <w:spacing w:val="-3"/>
          <w:w w:val="105"/>
        </w:rPr>
        <w:t> </w:t>
      </w:r>
      <w:r>
        <w:rPr>
          <w:w w:val="105"/>
        </w:rPr>
        <w:t>coordination Comparative</w:t>
      </w:r>
      <w:r>
        <w:rPr>
          <w:spacing w:val="-8"/>
          <w:w w:val="105"/>
        </w:rPr>
        <w:t> </w:t>
      </w:r>
      <w:r>
        <w:rPr>
          <w:w w:val="105"/>
        </w:rPr>
        <w:t>market</w:t>
      </w:r>
      <w:r>
        <w:rPr>
          <w:spacing w:val="-8"/>
          <w:w w:val="105"/>
        </w:rPr>
        <w:t> </w:t>
      </w:r>
      <w:r>
        <w:rPr>
          <w:w w:val="105"/>
        </w:rPr>
        <w:t>analysis Contract</w:t>
      </w:r>
      <w:r>
        <w:rPr>
          <w:spacing w:val="-3"/>
          <w:w w:val="105"/>
        </w:rPr>
        <w:t> </w:t>
      </w:r>
      <w:r>
        <w:rPr>
          <w:w w:val="105"/>
        </w:rPr>
        <w:t>preparation</w:t>
      </w:r>
    </w:p>
    <w:p>
      <w:pPr>
        <w:pStyle w:val="BodyText"/>
        <w:spacing w:line="372" w:lineRule="auto" w:before="9"/>
        <w:ind w:left="769" w:right="426"/>
      </w:pPr>
      <w:r>
        <w:rPr>
          <w:w w:val="110"/>
        </w:rPr>
        <w:t>CRM</w:t>
      </w:r>
      <w:r>
        <w:rPr>
          <w:spacing w:val="-6"/>
          <w:w w:val="110"/>
        </w:rPr>
        <w:t> </w:t>
      </w:r>
      <w:r>
        <w:rPr>
          <w:w w:val="110"/>
        </w:rPr>
        <w:t>management Open</w:t>
      </w:r>
      <w:r>
        <w:rPr>
          <w:spacing w:val="-10"/>
          <w:w w:val="110"/>
        </w:rPr>
        <w:t> </w:t>
      </w:r>
      <w:r>
        <w:rPr>
          <w:w w:val="110"/>
        </w:rPr>
        <w:t>house</w:t>
      </w:r>
      <w:r>
        <w:rPr>
          <w:spacing w:val="-10"/>
          <w:w w:val="110"/>
        </w:rPr>
        <w:t> </w:t>
      </w:r>
      <w:r>
        <w:rPr>
          <w:w w:val="110"/>
        </w:rPr>
        <w:t>scheduling Property</w:t>
      </w:r>
      <w:r>
        <w:rPr>
          <w:spacing w:val="-16"/>
          <w:w w:val="110"/>
        </w:rPr>
        <w:t> </w:t>
      </w:r>
      <w:r>
        <w:rPr>
          <w:w w:val="110"/>
        </w:rPr>
        <w:t>showings Seller</w:t>
      </w:r>
      <w:r>
        <w:rPr>
          <w:spacing w:val="-16"/>
          <w:w w:val="110"/>
        </w:rPr>
        <w:t> </w:t>
      </w:r>
      <w:r>
        <w:rPr>
          <w:w w:val="110"/>
        </w:rPr>
        <w:t>communication</w:t>
      </w:r>
    </w:p>
    <w:p>
      <w:pPr>
        <w:pStyle w:val="BodyText"/>
        <w:spacing w:before="15"/>
      </w:pPr>
    </w:p>
    <w:p>
      <w:pPr>
        <w:pStyle w:val="Heading1"/>
      </w:pPr>
      <w:r>
        <w:rPr>
          <w:smallCaps/>
          <w:color w:val="8B3C4A"/>
          <w:spacing w:val="-2"/>
          <w:w w:val="130"/>
        </w:rPr>
        <w:t>Education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259" w:lineRule="auto"/>
        <w:ind w:left="769"/>
      </w:pPr>
      <w:r>
        <w:rPr>
          <w:w w:val="105"/>
        </w:rPr>
        <w:t>Bachelor of Business Administration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Marketing</w:t>
      </w:r>
    </w:p>
    <w:p>
      <w:pPr>
        <w:pStyle w:val="Heading1"/>
        <w:spacing w:before="155"/>
      </w:pPr>
      <w:r>
        <w:rPr>
          <w:b w:val="0"/>
        </w:rPr>
        <w:br w:type="column"/>
      </w:r>
      <w:r>
        <w:rPr>
          <w:smallCaps/>
          <w:color w:val="FFFFFF"/>
          <w:spacing w:val="-2"/>
          <w:w w:val="135"/>
        </w:rPr>
        <w:t>Professional</w:t>
      </w:r>
      <w:r>
        <w:rPr>
          <w:smallCaps/>
          <w:color w:val="FFFFFF"/>
          <w:spacing w:val="10"/>
          <w:w w:val="135"/>
        </w:rPr>
        <w:t> </w:t>
      </w:r>
      <w:r>
        <w:rPr>
          <w:smallCaps/>
          <w:color w:val="FFFFFF"/>
          <w:spacing w:val="-2"/>
          <w:w w:val="135"/>
        </w:rPr>
        <w:t>experience</w:t>
      </w:r>
    </w:p>
    <w:p>
      <w:pPr>
        <w:pStyle w:val="BodyText"/>
        <w:spacing w:before="62"/>
        <w:rPr>
          <w:rFonts w:ascii="Calibri"/>
          <w:b/>
        </w:rPr>
      </w:pPr>
    </w:p>
    <w:p>
      <w:pPr>
        <w:spacing w:line="259" w:lineRule="auto" w:before="0"/>
        <w:ind w:left="100" w:right="2934" w:firstLine="0"/>
        <w:jc w:val="left"/>
        <w:rPr>
          <w:sz w:val="18"/>
        </w:rPr>
      </w:pPr>
      <w:r>
        <w:rPr>
          <w:b/>
          <w:color w:val="FFFFFF"/>
          <w:sz w:val="18"/>
        </w:rPr>
        <w:t>Residential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Agent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Berkshire Realty, Austin, TX April 2020 - Present</w:t>
      </w:r>
    </w:p>
    <w:p>
      <w:pPr>
        <w:pStyle w:val="BodyText"/>
        <w:spacing w:before="60"/>
      </w:pPr>
    </w:p>
    <w:p>
      <w:pPr>
        <w:pStyle w:val="BodyText"/>
        <w:spacing w:line="379" w:lineRule="auto"/>
        <w:ind w:left="862"/>
      </w:pPr>
      <w:r>
        <w:rPr>
          <w:color w:val="FFFFFF"/>
          <w:w w:val="105"/>
        </w:rPr>
        <w:t>Closed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42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transactions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2023,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totaling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$14.3M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sales Maintained average days on market under 21 for listed homes</w:t>
      </w:r>
    </w:p>
    <w:p>
      <w:pPr>
        <w:pStyle w:val="BodyText"/>
        <w:spacing w:line="259" w:lineRule="auto"/>
        <w:ind w:left="862" w:right="85"/>
      </w:pPr>
      <w:r>
        <w:rPr>
          <w:color w:val="FFFFFF"/>
          <w:spacing w:val="-2"/>
          <w:w w:val="110"/>
        </w:rPr>
        <w:t>Increased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referral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leads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by</w:t>
      </w:r>
      <w:r>
        <w:rPr>
          <w:color w:val="FFFFFF"/>
          <w:spacing w:val="-14"/>
          <w:w w:val="110"/>
        </w:rPr>
        <w:t> </w:t>
      </w:r>
      <w:r>
        <w:rPr>
          <w:color w:val="FFFFFF"/>
          <w:spacing w:val="-2"/>
          <w:w w:val="110"/>
        </w:rPr>
        <w:t>30%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through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local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networking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post-closing follow-ups</w:t>
      </w:r>
    </w:p>
    <w:p>
      <w:pPr>
        <w:pStyle w:val="BodyText"/>
        <w:spacing w:before="194"/>
      </w:pPr>
    </w:p>
    <w:p>
      <w:pPr>
        <w:spacing w:line="259" w:lineRule="auto" w:before="0"/>
        <w:ind w:left="100" w:right="293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Realtor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Magnolia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Homes,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Austin,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TX May 2017 - March 2020</w:t>
      </w:r>
    </w:p>
    <w:p>
      <w:pPr>
        <w:pStyle w:val="BodyText"/>
        <w:spacing w:before="59"/>
      </w:pPr>
    </w:p>
    <w:p>
      <w:pPr>
        <w:pStyle w:val="BodyText"/>
        <w:spacing w:line="379" w:lineRule="auto"/>
        <w:ind w:left="862"/>
      </w:pPr>
      <w:r>
        <w:rPr>
          <w:color w:val="FFFFFF"/>
          <w:w w:val="105"/>
        </w:rPr>
        <w:t>Supported first-time buyers through mortgage pre-approval and closing Managed contracts and document submissions for multi-offer transactions Conducted home value assessments to guide seller pricing decisions</w:t>
      </w:r>
    </w:p>
    <w:p>
      <w:pPr>
        <w:pStyle w:val="BodyText"/>
        <w:spacing w:before="50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ind w:left="100"/>
      </w:pPr>
      <w:r>
        <w:rPr>
          <w:color w:val="FFFFFF"/>
        </w:rPr>
        <w:t>Licensed</w:t>
      </w:r>
      <w:r>
        <w:rPr>
          <w:color w:val="FFFFFF"/>
          <w:spacing w:val="16"/>
        </w:rPr>
        <w:t> </w:t>
      </w:r>
      <w:r>
        <w:rPr>
          <w:color w:val="FFFFFF"/>
        </w:rPr>
        <w:t>Real</w:t>
      </w:r>
      <w:r>
        <w:rPr>
          <w:color w:val="FFFFFF"/>
          <w:spacing w:val="7"/>
        </w:rPr>
        <w:t> </w:t>
      </w:r>
      <w:r>
        <w:rPr>
          <w:color w:val="FFFFFF"/>
        </w:rPr>
        <w:t>Estate</w:t>
      </w:r>
      <w:r>
        <w:rPr>
          <w:color w:val="FFFFFF"/>
          <w:spacing w:val="16"/>
        </w:rPr>
        <w:t> </w:t>
      </w:r>
      <w:r>
        <w:rPr>
          <w:color w:val="FFFFFF"/>
        </w:rPr>
        <w:t>Salesperson</w:t>
      </w:r>
      <w:r>
        <w:rPr>
          <w:color w:val="FFFFFF"/>
          <w:spacing w:val="1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6"/>
        </w:rPr>
        <w:t> </w:t>
      </w:r>
      <w:r>
        <w:rPr>
          <w:color w:val="FFFFFF"/>
        </w:rPr>
        <w:t>State</w:t>
      </w:r>
      <w:r>
        <w:rPr>
          <w:color w:val="FFFFFF"/>
          <w:spacing w:val="16"/>
        </w:rPr>
        <w:t> </w:t>
      </w:r>
      <w:r>
        <w:rPr>
          <w:color w:val="FFFFFF"/>
        </w:rPr>
        <w:t>of</w:t>
      </w:r>
      <w:r>
        <w:rPr>
          <w:color w:val="FFFFFF"/>
          <w:spacing w:val="1"/>
        </w:rPr>
        <w:t> </w:t>
      </w:r>
      <w:r>
        <w:rPr>
          <w:color w:val="FFFFFF"/>
        </w:rPr>
        <w:t>Texas</w:t>
      </w:r>
      <w:r>
        <w:rPr>
          <w:color w:val="FFFFFF"/>
          <w:spacing w:val="1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9"/>
        </w:rPr>
        <w:t> </w:t>
      </w:r>
      <w:r>
        <w:rPr>
          <w:color w:val="FFFFFF"/>
        </w:rPr>
        <w:t>July</w:t>
      </w:r>
      <w:r>
        <w:rPr>
          <w:color w:val="FFFFFF"/>
          <w:spacing w:val="8"/>
        </w:rPr>
        <w:t> </w:t>
      </w:r>
      <w:r>
        <w:rPr>
          <w:color w:val="FFFFFF"/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141"/>
          <w:cols w:num="2" w:equalWidth="0">
            <w:col w:w="3241" w:space="1093"/>
            <w:col w:w="7304"/>
          </w:cols>
        </w:sectPr>
      </w:pPr>
    </w:p>
    <w:p>
      <w:pPr>
        <w:pStyle w:val="BodyText"/>
        <w:spacing w:before="12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972162"/>
                                </a:moveTo>
                                <a:lnTo>
                                  <a:pt x="0" y="59721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9721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62262"/>
                                </a:moveTo>
                                <a:lnTo>
                                  <a:pt x="0" y="2962262"/>
                                </a:lnTo>
                                <a:lnTo>
                                  <a:pt x="0" y="5676887"/>
                                </a:lnTo>
                                <a:lnTo>
                                  <a:pt x="4882134" y="5676887"/>
                                </a:lnTo>
                                <a:lnTo>
                                  <a:pt x="4882134" y="29622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4882134" y="26574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00275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4860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657487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2235" y="304787"/>
                                </a:lnTo>
                                <a:lnTo>
                                  <a:pt x="151638" y="535673"/>
                                </a:lnTo>
                                <a:lnTo>
                                  <a:pt x="151638" y="304787"/>
                                </a:lnTo>
                                <a:lnTo>
                                  <a:pt x="5025009" y="30478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571874"/>
                            <a:ext cx="4762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859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676899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99" y="0"/>
                            <a:ext cx="132397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514475">
                                <a:moveTo>
                                  <a:pt x="0" y="1514474"/>
                                </a:moveTo>
                                <a:lnTo>
                                  <a:pt x="1323974" y="1514474"/>
                                </a:lnTo>
                                <a:lnTo>
                                  <a:pt x="13239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shape style="position:absolute;left:4229;top:0;width:7689;height:16858" id="docshape2" coordorigin="4230,0" coordsize="7689,16858" path="m11918,9405l4230,9405,4230,16858,11918,16858,11918,9405xm11918,4665l4230,4665,4230,8940,11918,8940,11918,4665xm11918,0l4230,0,4230,4185,11918,4185,11918,0xe" filled="true" fillcolor="#8b3c4a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3465" id="docshape12" coordorigin="615,7065" coordsize="75,3465" path="m690,10487l689,10482,685,10473,683,10469,676,10462,672,10460,663,10456,658,10455,647,10455,642,10456,633,10460,629,10462,622,10469,620,10473,616,10482,615,10487,615,10493,615,10498,616,10503,620,10512,622,10516,629,10523,633,10525,642,10529,647,10530,658,10530,663,10529,672,10525,676,10523,683,10516,685,10512,689,10503,690,10498,690,10487xm690,9392l689,9387,685,9378,683,9374,676,9367,672,9365,663,9361,658,9360,647,9360,642,9361,633,9365,629,9367,622,9374,620,9378,616,9387,615,9392,615,9398,615,9403,616,9408,620,9417,622,9421,629,9428,633,9430,642,9434,647,9435,658,9435,663,9434,672,9430,676,9428,683,9421,685,9417,689,9408,690,9403,690,9392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915;width:7545;height:15" id="docshape13" filled="true" fillcolor="#ffffff" stroked="false">
                  <v:fill type="solid"/>
                </v:rect>
                <v:shape style="position:absolute;left:4004;top:4185;width:7914;height:844" id="docshape14" coordorigin="4005,4185" coordsize="7914,844" path="m11918,4185l4005,4185,4005,4665,4009,4665,4244,5029,4244,4665,11918,4665,11918,4185xe" filled="true" fillcolor="#e69037" stroked="false">
                  <v:path arrowok="t"/>
                  <v:fill type="solid"/>
                </v:shape>
                <v:shape style="position:absolute;left:5039;top:5625;width:75;height:2970" id="docshape15" coordorigin="5040,5625" coordsize="75,2970" path="m5115,8552l5114,8547,5110,8538,5108,8534,5101,8527,5097,8525,5088,8521,5083,8520,5072,8520,5067,8521,5058,8525,5054,8527,5047,8534,5045,8538,5041,8547,5040,8552,5040,8558,5040,8563,5041,8568,5045,8577,5047,8581,5054,8588,5058,8590,5067,8594,5072,8595,5083,8595,5088,8594,5097,8590,5101,8588,5108,8581,5110,8577,5114,8568,5115,8563,5115,8552xm5115,8222l5114,8217,5110,8208,5108,8204,5101,8197,5097,8195,5088,8191,5083,8190,5072,8190,5067,8191,5058,8195,5054,8197,5047,8204,5045,8208,5041,8217,5040,8222,5040,8228,5040,8233,5041,8238,5045,8247,5047,8251,5054,8258,5058,8260,5067,8264,5072,8265,5083,8265,5088,8264,5097,8260,5101,8258,5108,8251,5110,8247,5114,8238,5115,8233,5115,8222x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e" filled="true" fillcolor="#ffffff" stroked="false">
                  <v:path arrowok="t"/>
                  <v:fill type="solid"/>
                </v:shape>
                <v:shape style="position:absolute;left:4004;top:8940;width:7914;height:829" id="docshape16" coordorigin="4005,8940" coordsize="7914,829" path="m11918,8940l4005,8940,4005,9405,4009,9405,4244,9769,4244,9405,11918,9405,11918,8940xe" filled="true" fillcolor="#e69037" stroked="false">
                  <v:path arrowok="t"/>
                  <v:fill type="solid"/>
                </v:shape>
                <v:rect style="position:absolute;left:1080;top:0;width:2085;height:2385" id="docshape17" filled="true" fillcolor="#ffffff" stroked="false">
                  <v:fill type="solid"/>
                </v:rect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/>
        <w:t>Texas</w:t>
      </w:r>
      <w:r>
        <w:rPr>
          <w:spacing w:val="9"/>
        </w:rPr>
        <w:t> </w:t>
      </w:r>
      <w:r>
        <w:rPr/>
        <w:t>State</w:t>
      </w:r>
      <w:r>
        <w:rPr>
          <w:spacing w:val="10"/>
        </w:rPr>
        <w:t> </w:t>
      </w:r>
      <w:r>
        <w:rPr/>
        <w:t>University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101" w:right="252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2026-02-15T13:01:56Z</dcterms:created>
  <dcterms:modified xsi:type="dcterms:W3CDTF">2026-02-15T13:01:56Z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