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A26E00"/>
          <w:sz w:val="63"/>
        </w:rPr>
        <w:t>Sam</w:t>
      </w:r>
      <w:r>
        <w:rPr>
          <w:rFonts w:ascii="Arial"/>
          <w:b/>
          <w:color w:val="A26E00"/>
          <w:spacing w:val="-9"/>
          <w:sz w:val="63"/>
        </w:rPr>
        <w:t> </w:t>
      </w:r>
      <w:r>
        <w:rPr>
          <w:rFonts w:ascii="Microsoft Sans Serif"/>
          <w:color w:val="A26E00"/>
          <w:spacing w:val="-2"/>
          <w:sz w:val="63"/>
        </w:rPr>
        <w:t>Wright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A26E00"/>
          <w:w w:val="105"/>
          <w:sz w:val="18"/>
        </w:rPr>
        <w:t>Bilingual</w:t>
      </w:r>
      <w:r>
        <w:rPr>
          <w:rFonts w:ascii="Microsoft Sans Serif"/>
          <w:color w:val="A26E00"/>
          <w:spacing w:val="-6"/>
          <w:w w:val="105"/>
          <w:sz w:val="18"/>
        </w:rPr>
        <w:t> </w:t>
      </w:r>
      <w:r>
        <w:rPr>
          <w:rFonts w:ascii="Microsoft Sans Serif"/>
          <w:color w:val="A26E00"/>
          <w:spacing w:val="-2"/>
          <w:w w:val="110"/>
          <w:sz w:val="18"/>
        </w:rPr>
        <w:t>Secretary</w:t>
      </w:r>
    </w:p>
    <w:p>
      <w:pPr>
        <w:spacing w:before="170"/>
        <w:ind w:left="15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6"/>
          <w:sz w:val="13"/>
        </w:rPr>
        <w:t> </w:t>
      </w:r>
      <w:r>
        <w:rPr>
          <w:sz w:val="13"/>
        </w:rPr>
        <w:t>000-0000</w:t>
      </w:r>
      <w:r>
        <w:rPr>
          <w:spacing w:val="42"/>
          <w:sz w:val="13"/>
        </w:rPr>
        <w:t> </w:t>
      </w:r>
      <w:r>
        <w:rPr>
          <w:sz w:val="9"/>
        </w:rPr>
        <w:t>•</w:t>
      </w:r>
      <w:r>
        <w:rPr>
          <w:spacing w:val="54"/>
          <w:sz w:val="9"/>
        </w:rPr>
        <w:t> </w:t>
      </w:r>
      <w:r>
        <w:rPr>
          <w:sz w:val="13"/>
        </w:rPr>
        <w:t>Miami,</w:t>
      </w:r>
      <w:r>
        <w:rPr>
          <w:spacing w:val="16"/>
          <w:sz w:val="13"/>
        </w:rPr>
        <w:t> </w:t>
      </w:r>
      <w:r>
        <w:rPr>
          <w:sz w:val="13"/>
        </w:rPr>
        <w:t>FL</w:t>
      </w:r>
      <w:r>
        <w:rPr>
          <w:spacing w:val="11"/>
          <w:sz w:val="13"/>
        </w:rPr>
        <w:t> </w:t>
      </w:r>
      <w:r>
        <w:rPr>
          <w:sz w:val="13"/>
        </w:rPr>
        <w:t>33130</w:t>
      </w:r>
      <w:r>
        <w:rPr>
          <w:spacing w:val="42"/>
          <w:sz w:val="13"/>
        </w:rPr>
        <w:t> </w:t>
      </w:r>
      <w:r>
        <w:rPr>
          <w:sz w:val="9"/>
        </w:rPr>
        <w:t>•</w:t>
      </w:r>
      <w:r>
        <w:rPr>
          <w:spacing w:val="55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Heading2"/>
        <w:spacing w:line="290" w:lineRule="auto"/>
      </w:pPr>
      <w:r>
        <w:rPr/>
        <w:t>Bilingual</w:t>
      </w:r>
      <w:r>
        <w:rPr>
          <w:spacing w:val="25"/>
        </w:rPr>
        <w:t> </w:t>
      </w:r>
      <w:r>
        <w:rPr/>
        <w:t>Secretary</w:t>
      </w:r>
      <w:r>
        <w:rPr>
          <w:spacing w:val="18"/>
        </w:rPr>
        <w:t> </w:t>
      </w:r>
      <w:r>
        <w:rPr/>
        <w:t>with</w:t>
      </w:r>
      <w:r>
        <w:rPr>
          <w:spacing w:val="33"/>
        </w:rPr>
        <w:t> </w:t>
      </w:r>
      <w:r>
        <w:rPr/>
        <w:t>10</w:t>
      </w:r>
      <w:r>
        <w:rPr>
          <w:spacing w:val="25"/>
        </w:rPr>
        <w:t> </w:t>
      </w:r>
      <w:r>
        <w:rPr/>
        <w:t>years</w:t>
      </w:r>
      <w:r>
        <w:rPr>
          <w:spacing w:val="33"/>
        </w:rPr>
        <w:t> </w:t>
      </w:r>
      <w:r>
        <w:rPr/>
        <w:t>of</w:t>
      </w:r>
      <w:r>
        <w:rPr>
          <w:spacing w:val="25"/>
        </w:rPr>
        <w:t> </w:t>
      </w:r>
      <w:r>
        <w:rPr/>
        <w:t>experience</w:t>
      </w:r>
      <w:r>
        <w:rPr>
          <w:spacing w:val="33"/>
        </w:rPr>
        <w:t> </w:t>
      </w:r>
      <w:r>
        <w:rPr/>
        <w:t>providing</w:t>
      </w:r>
      <w:r>
        <w:rPr>
          <w:spacing w:val="33"/>
        </w:rPr>
        <w:t> </w:t>
      </w:r>
      <w:r>
        <w:rPr/>
        <w:t>Spanish-English</w:t>
      </w:r>
      <w:r>
        <w:rPr>
          <w:spacing w:val="33"/>
        </w:rPr>
        <w:t> </w:t>
      </w:r>
      <w:r>
        <w:rPr/>
        <w:t>administrative</w:t>
      </w:r>
      <w:r>
        <w:rPr>
          <w:spacing w:val="33"/>
        </w:rPr>
        <w:t> </w:t>
      </w:r>
      <w:r>
        <w:rPr/>
        <w:t>support</w:t>
      </w:r>
      <w:r>
        <w:rPr>
          <w:spacing w:val="33"/>
        </w:rPr>
        <w:t> </w:t>
      </w:r>
      <w:r>
        <w:rPr/>
        <w:t>across</w:t>
      </w:r>
      <w:r>
        <w:rPr>
          <w:spacing w:val="33"/>
        </w:rPr>
        <w:t> </w:t>
      </w:r>
      <w:r>
        <w:rPr/>
        <w:t>corporate,</w:t>
      </w:r>
      <w:r>
        <w:rPr>
          <w:spacing w:val="33"/>
        </w:rPr>
        <w:t> </w:t>
      </w:r>
      <w:r>
        <w:rPr/>
        <w:t>nonprofit,</w:t>
      </w:r>
      <w:r>
        <w:rPr>
          <w:spacing w:val="33"/>
        </w:rPr>
        <w:t> </w:t>
      </w:r>
      <w:r>
        <w:rPr/>
        <w:t>and customer-facing</w:t>
      </w:r>
      <w:r>
        <w:rPr>
          <w:spacing w:val="-3"/>
        </w:rPr>
        <w:t> </w:t>
      </w:r>
      <w:r>
        <w:rPr/>
        <w:t>organizations</w:t>
      </w:r>
    </w:p>
    <w:p>
      <w:pPr>
        <w:pStyle w:val="BodyText"/>
        <w:spacing w:line="158" w:lineRule="exact"/>
        <w:ind w:left="23"/>
      </w:pPr>
      <w:r>
        <w:rPr/>
        <w:t>Specializes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translation,</w:t>
      </w:r>
      <w:r>
        <w:rPr>
          <w:spacing w:val="21"/>
        </w:rPr>
        <w:t> </w:t>
      </w:r>
      <w:r>
        <w:rPr/>
        <w:t>scheduling,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client</w:t>
      </w:r>
      <w:r>
        <w:rPr>
          <w:spacing w:val="21"/>
        </w:rPr>
        <w:t> </w:t>
      </w:r>
      <w:r>
        <w:rPr/>
        <w:t>service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multicultural</w:t>
      </w:r>
      <w:r>
        <w:rPr>
          <w:spacing w:val="13"/>
        </w:rPr>
        <w:t> </w:t>
      </w:r>
      <w:r>
        <w:rPr/>
        <w:t>and</w:t>
      </w:r>
      <w:r>
        <w:rPr>
          <w:spacing w:val="22"/>
        </w:rPr>
        <w:t> </w:t>
      </w:r>
      <w:r>
        <w:rPr/>
        <w:t>multilingual</w:t>
      </w:r>
      <w:r>
        <w:rPr>
          <w:spacing w:val="13"/>
        </w:rPr>
        <w:t> </w:t>
      </w:r>
      <w:r>
        <w:rPr>
          <w:spacing w:val="-2"/>
        </w:rPr>
        <w:t>environments.</w:t>
      </w:r>
    </w:p>
    <w:p>
      <w:pPr>
        <w:pStyle w:val="BodyText"/>
        <w:spacing w:before="70"/>
      </w:pPr>
    </w:p>
    <w:p>
      <w:pPr>
        <w:pStyle w:val="Heading1"/>
      </w:pPr>
      <w:r>
        <w:rPr>
          <w:color w:val="A26E00"/>
          <w:w w:val="105"/>
          <w:sz w:val="20"/>
        </w:rPr>
        <w:t>P</w:t>
      </w:r>
      <w:r>
        <w:rPr>
          <w:color w:val="A26E00"/>
          <w:w w:val="105"/>
        </w:rPr>
        <w:t>rofessional</w:t>
      </w:r>
      <w:r>
        <w:rPr>
          <w:color w:val="A26E00"/>
          <w:spacing w:val="40"/>
          <w:w w:val="105"/>
        </w:rPr>
        <w:t> </w:t>
      </w:r>
      <w:r>
        <w:rPr>
          <w:color w:val="A26E00"/>
          <w:spacing w:val="-2"/>
          <w:w w:val="105"/>
        </w:rPr>
        <w:t>Experience</w:t>
      </w:r>
    </w:p>
    <w:p>
      <w:pPr>
        <w:pStyle w:val="BodyText"/>
        <w:spacing w:before="83"/>
        <w:rPr>
          <w:rFonts w:ascii="Arial"/>
          <w:b/>
          <w:sz w:val="16"/>
        </w:rPr>
      </w:pPr>
    </w:p>
    <w:p>
      <w:pPr>
        <w:pStyle w:val="BodyText"/>
        <w:spacing w:line="268" w:lineRule="auto"/>
        <w:ind w:left="358" w:right="4496"/>
      </w:pPr>
      <w:r>
        <w:rPr/>
        <w:t>Bilingual Secretary</w:t>
      </w:r>
      <w:r>
        <w:rPr>
          <w:spacing w:val="40"/>
        </w:rPr>
        <w:t> </w:t>
      </w:r>
      <w:r>
        <w:rPr>
          <w:w w:val="80"/>
        </w:rPr>
        <w:t>|</w:t>
      </w:r>
      <w:r>
        <w:rPr>
          <w:spacing w:val="40"/>
        </w:rPr>
        <w:t> </w:t>
      </w:r>
      <w:r>
        <w:rPr/>
        <w:t>Florida Immigrant Services Network, Miami, FL April 2016 </w:t>
      </w:r>
      <w:r>
        <w:rPr>
          <w:w w:val="125"/>
        </w:rPr>
        <w:t>– </w:t>
      </w:r>
      <w:r>
        <w:rPr/>
        <w:t>Present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1"/>
        </w:numPr>
        <w:tabs>
          <w:tab w:pos="783" w:val="left" w:leader="none"/>
          <w:tab w:pos="785" w:val="left" w:leader="none"/>
        </w:tabs>
        <w:spacing w:line="196" w:lineRule="auto" w:before="1" w:after="0"/>
        <w:ind w:left="785" w:right="16" w:hanging="298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Translates</w:t>
      </w:r>
      <w:r>
        <w:rPr>
          <w:spacing w:val="39"/>
          <w:sz w:val="15"/>
        </w:rPr>
        <w:t> </w:t>
      </w:r>
      <w:r>
        <w:rPr>
          <w:sz w:val="15"/>
        </w:rPr>
        <w:t>documents</w:t>
      </w:r>
      <w:r>
        <w:rPr>
          <w:spacing w:val="39"/>
          <w:sz w:val="15"/>
        </w:rPr>
        <w:t> </w:t>
      </w:r>
      <w:r>
        <w:rPr>
          <w:sz w:val="15"/>
        </w:rPr>
        <w:t>and</w:t>
      </w:r>
      <w:r>
        <w:rPr>
          <w:spacing w:val="39"/>
          <w:sz w:val="15"/>
        </w:rPr>
        <w:t> </w:t>
      </w:r>
      <w:r>
        <w:rPr>
          <w:sz w:val="15"/>
        </w:rPr>
        <w:t>interprets</w:t>
      </w:r>
      <w:r>
        <w:rPr>
          <w:spacing w:val="39"/>
          <w:sz w:val="15"/>
        </w:rPr>
        <w:t> </w:t>
      </w:r>
      <w:r>
        <w:rPr>
          <w:sz w:val="15"/>
        </w:rPr>
        <w:t>client</w:t>
      </w:r>
      <w:r>
        <w:rPr>
          <w:spacing w:val="39"/>
          <w:sz w:val="15"/>
        </w:rPr>
        <w:t> </w:t>
      </w:r>
      <w:r>
        <w:rPr>
          <w:sz w:val="15"/>
        </w:rPr>
        <w:t>communications</w:t>
      </w:r>
      <w:r>
        <w:rPr>
          <w:spacing w:val="39"/>
          <w:sz w:val="15"/>
        </w:rPr>
        <w:t> </w:t>
      </w:r>
      <w:r>
        <w:rPr>
          <w:sz w:val="15"/>
        </w:rPr>
        <w:t>between</w:t>
      </w:r>
      <w:r>
        <w:rPr>
          <w:spacing w:val="39"/>
          <w:sz w:val="15"/>
        </w:rPr>
        <w:t> </w:t>
      </w:r>
      <w:r>
        <w:rPr>
          <w:sz w:val="15"/>
        </w:rPr>
        <w:t>caseworkers</w:t>
      </w:r>
      <w:r>
        <w:rPr>
          <w:spacing w:val="39"/>
          <w:sz w:val="15"/>
        </w:rPr>
        <w:t> </w:t>
      </w:r>
      <w:r>
        <w:rPr>
          <w:sz w:val="15"/>
        </w:rPr>
        <w:t>and</w:t>
      </w:r>
      <w:r>
        <w:rPr>
          <w:spacing w:val="39"/>
          <w:sz w:val="15"/>
        </w:rPr>
        <w:t> </w:t>
      </w:r>
      <w:r>
        <w:rPr>
          <w:sz w:val="15"/>
        </w:rPr>
        <w:t>Spanish-speaking</w:t>
      </w:r>
      <w:r>
        <w:rPr>
          <w:spacing w:val="39"/>
          <w:sz w:val="15"/>
        </w:rPr>
        <w:t> </w:t>
      </w:r>
      <w:r>
        <w:rPr>
          <w:sz w:val="15"/>
        </w:rPr>
        <w:t>clients</w:t>
      </w:r>
      <w:r>
        <w:rPr>
          <w:spacing w:val="39"/>
          <w:sz w:val="15"/>
        </w:rPr>
        <w:t> </w:t>
      </w:r>
      <w:r>
        <w:rPr>
          <w:sz w:val="15"/>
        </w:rPr>
        <w:t>across</w:t>
      </w:r>
      <w:r>
        <w:rPr>
          <w:spacing w:val="39"/>
          <w:sz w:val="15"/>
        </w:rPr>
        <w:t> </w:t>
      </w:r>
      <w:r>
        <w:rPr>
          <w:sz w:val="15"/>
        </w:rPr>
        <w:t>legal, medical, and social services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Schedules</w:t>
      </w:r>
      <w:r>
        <w:rPr>
          <w:spacing w:val="22"/>
          <w:sz w:val="15"/>
        </w:rPr>
        <w:t> </w:t>
      </w:r>
      <w:r>
        <w:rPr>
          <w:sz w:val="15"/>
        </w:rPr>
        <w:t>intake</w:t>
      </w:r>
      <w:r>
        <w:rPr>
          <w:spacing w:val="22"/>
          <w:sz w:val="15"/>
        </w:rPr>
        <w:t> </w:t>
      </w:r>
      <w:r>
        <w:rPr>
          <w:sz w:val="15"/>
        </w:rPr>
        <w:t>interviews,</w:t>
      </w:r>
      <w:r>
        <w:rPr>
          <w:spacing w:val="22"/>
          <w:sz w:val="15"/>
        </w:rPr>
        <w:t> </w:t>
      </w:r>
      <w:r>
        <w:rPr>
          <w:sz w:val="15"/>
        </w:rPr>
        <w:t>maintains</w:t>
      </w:r>
      <w:r>
        <w:rPr>
          <w:spacing w:val="22"/>
          <w:sz w:val="15"/>
        </w:rPr>
        <w:t> </w:t>
      </w:r>
      <w:r>
        <w:rPr>
          <w:sz w:val="15"/>
        </w:rPr>
        <w:t>records,</w:t>
      </w:r>
      <w:r>
        <w:rPr>
          <w:spacing w:val="22"/>
          <w:sz w:val="15"/>
        </w:rPr>
        <w:t> </w:t>
      </w:r>
      <w:r>
        <w:rPr>
          <w:sz w:val="15"/>
        </w:rPr>
        <w:t>and</w:t>
      </w:r>
      <w:r>
        <w:rPr>
          <w:spacing w:val="22"/>
          <w:sz w:val="15"/>
        </w:rPr>
        <w:t> </w:t>
      </w:r>
      <w:r>
        <w:rPr>
          <w:sz w:val="15"/>
        </w:rPr>
        <w:t>prepares</w:t>
      </w:r>
      <w:r>
        <w:rPr>
          <w:spacing w:val="22"/>
          <w:sz w:val="15"/>
        </w:rPr>
        <w:t> </w:t>
      </w:r>
      <w:r>
        <w:rPr>
          <w:sz w:val="15"/>
        </w:rPr>
        <w:t>monthly</w:t>
      </w:r>
      <w:r>
        <w:rPr>
          <w:spacing w:val="16"/>
          <w:sz w:val="15"/>
        </w:rPr>
        <w:t> </w:t>
      </w:r>
      <w:r>
        <w:rPr>
          <w:sz w:val="15"/>
        </w:rPr>
        <w:t>activity</w:t>
      </w:r>
      <w:r>
        <w:rPr>
          <w:spacing w:val="16"/>
          <w:sz w:val="15"/>
        </w:rPr>
        <w:t> </w:t>
      </w:r>
      <w:r>
        <w:rPr>
          <w:sz w:val="15"/>
        </w:rPr>
        <w:t>reports</w:t>
      </w:r>
      <w:r>
        <w:rPr>
          <w:spacing w:val="22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grants</w:t>
      </w:r>
      <w:r>
        <w:rPr>
          <w:spacing w:val="22"/>
          <w:sz w:val="15"/>
        </w:rPr>
        <w:t> </w:t>
      </w:r>
      <w:r>
        <w:rPr>
          <w:sz w:val="15"/>
        </w:rPr>
        <w:t>and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Coordinates</w:t>
      </w:r>
      <w:r>
        <w:rPr>
          <w:spacing w:val="28"/>
          <w:sz w:val="15"/>
        </w:rPr>
        <w:t> </w:t>
      </w:r>
      <w:r>
        <w:rPr>
          <w:sz w:val="15"/>
        </w:rPr>
        <w:t>logistics</w:t>
      </w:r>
      <w:r>
        <w:rPr>
          <w:spacing w:val="29"/>
          <w:sz w:val="15"/>
        </w:rPr>
        <w:t> </w:t>
      </w:r>
      <w:r>
        <w:rPr>
          <w:sz w:val="15"/>
        </w:rPr>
        <w:t>for</w:t>
      </w:r>
      <w:r>
        <w:rPr>
          <w:spacing w:val="22"/>
          <w:sz w:val="15"/>
        </w:rPr>
        <w:t> </w:t>
      </w:r>
      <w:r>
        <w:rPr>
          <w:sz w:val="15"/>
        </w:rPr>
        <w:t>community</w:t>
      </w:r>
      <w:r>
        <w:rPr>
          <w:spacing w:val="22"/>
          <w:sz w:val="15"/>
        </w:rPr>
        <w:t> </w:t>
      </w:r>
      <w:r>
        <w:rPr>
          <w:sz w:val="15"/>
        </w:rPr>
        <w:t>outreach</w:t>
      </w:r>
      <w:r>
        <w:rPr>
          <w:spacing w:val="29"/>
          <w:sz w:val="15"/>
        </w:rPr>
        <w:t> </w:t>
      </w:r>
      <w:r>
        <w:rPr>
          <w:sz w:val="15"/>
        </w:rPr>
        <w:t>events,</w:t>
      </w:r>
      <w:r>
        <w:rPr>
          <w:spacing w:val="29"/>
          <w:sz w:val="15"/>
        </w:rPr>
        <w:t> </w:t>
      </w:r>
      <w:r>
        <w:rPr>
          <w:sz w:val="15"/>
        </w:rPr>
        <w:t>serving</w:t>
      </w:r>
      <w:r>
        <w:rPr>
          <w:spacing w:val="29"/>
          <w:sz w:val="15"/>
        </w:rPr>
        <w:t> </w:t>
      </w:r>
      <w:r>
        <w:rPr>
          <w:sz w:val="15"/>
        </w:rPr>
        <w:t>over</w:t>
      </w:r>
      <w:r>
        <w:rPr>
          <w:spacing w:val="22"/>
          <w:sz w:val="15"/>
        </w:rPr>
        <w:t> </w:t>
      </w:r>
      <w:r>
        <w:rPr>
          <w:sz w:val="15"/>
        </w:rPr>
        <w:t>3,000</w:t>
      </w:r>
      <w:r>
        <w:rPr>
          <w:spacing w:val="29"/>
          <w:sz w:val="15"/>
        </w:rPr>
        <w:t> </w:t>
      </w:r>
      <w:r>
        <w:rPr>
          <w:sz w:val="15"/>
        </w:rPr>
        <w:t>clients</w:t>
      </w:r>
      <w:r>
        <w:rPr>
          <w:spacing w:val="28"/>
          <w:sz w:val="15"/>
        </w:rPr>
        <w:t> </w:t>
      </w:r>
      <w:r>
        <w:rPr>
          <w:spacing w:val="-2"/>
          <w:sz w:val="15"/>
        </w:rPr>
        <w:t>annually</w:t>
      </w:r>
    </w:p>
    <w:p>
      <w:pPr>
        <w:pStyle w:val="BodyText"/>
        <w:spacing w:line="290" w:lineRule="auto" w:before="148"/>
        <w:ind w:left="358" w:right="4496"/>
      </w:pPr>
      <w:r>
        <w:rPr/>
        <w:t>Administrative Assistant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Multicultural Housing Coalition, Hialeah, FL May 2013 </w:t>
      </w:r>
      <w:r>
        <w:rPr>
          <w:w w:val="125"/>
        </w:rPr>
        <w:t>– </w:t>
      </w:r>
      <w:r>
        <w:rPr/>
        <w:t>March 2016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Prepared</w:t>
      </w:r>
      <w:r>
        <w:rPr>
          <w:spacing w:val="25"/>
          <w:sz w:val="15"/>
        </w:rPr>
        <w:t> </w:t>
      </w:r>
      <w:r>
        <w:rPr>
          <w:sz w:val="15"/>
        </w:rPr>
        <w:t>bilingual</w:t>
      </w:r>
      <w:r>
        <w:rPr>
          <w:spacing w:val="18"/>
          <w:sz w:val="15"/>
        </w:rPr>
        <w:t> </w:t>
      </w:r>
      <w:r>
        <w:rPr>
          <w:sz w:val="15"/>
        </w:rPr>
        <w:t>newsletters,</w:t>
      </w:r>
      <w:r>
        <w:rPr>
          <w:spacing w:val="25"/>
          <w:sz w:val="15"/>
        </w:rPr>
        <w:t> </w:t>
      </w:r>
      <w:r>
        <w:rPr>
          <w:sz w:val="15"/>
        </w:rPr>
        <w:t>appointment</w:t>
      </w:r>
      <w:r>
        <w:rPr>
          <w:spacing w:val="26"/>
          <w:sz w:val="15"/>
        </w:rPr>
        <w:t> </w:t>
      </w:r>
      <w:r>
        <w:rPr>
          <w:sz w:val="15"/>
        </w:rPr>
        <w:t>reminders,</w:t>
      </w:r>
      <w:r>
        <w:rPr>
          <w:spacing w:val="25"/>
          <w:sz w:val="15"/>
        </w:rPr>
        <w:t> </w:t>
      </w:r>
      <w:r>
        <w:rPr>
          <w:sz w:val="15"/>
        </w:rPr>
        <w:t>and</w:t>
      </w:r>
      <w:r>
        <w:rPr>
          <w:spacing w:val="26"/>
          <w:sz w:val="15"/>
        </w:rPr>
        <w:t> </w:t>
      </w:r>
      <w:r>
        <w:rPr>
          <w:sz w:val="15"/>
        </w:rPr>
        <w:t>flyers</w:t>
      </w:r>
      <w:r>
        <w:rPr>
          <w:spacing w:val="26"/>
          <w:sz w:val="15"/>
        </w:rPr>
        <w:t> </w:t>
      </w:r>
      <w:r>
        <w:rPr>
          <w:sz w:val="15"/>
        </w:rPr>
        <w:t>for</w:t>
      </w:r>
      <w:r>
        <w:rPr>
          <w:spacing w:val="19"/>
          <w:sz w:val="15"/>
        </w:rPr>
        <w:t> </w:t>
      </w:r>
      <w:r>
        <w:rPr>
          <w:sz w:val="15"/>
        </w:rPr>
        <w:t>tenants</w:t>
      </w:r>
      <w:r>
        <w:rPr>
          <w:spacing w:val="25"/>
          <w:sz w:val="15"/>
        </w:rPr>
        <w:t> </w:t>
      </w:r>
      <w:r>
        <w:rPr>
          <w:sz w:val="15"/>
        </w:rPr>
        <w:t>and</w:t>
      </w:r>
      <w:r>
        <w:rPr>
          <w:spacing w:val="26"/>
          <w:sz w:val="15"/>
        </w:rPr>
        <w:t> </w:t>
      </w:r>
      <w:r>
        <w:rPr>
          <w:sz w:val="15"/>
        </w:rPr>
        <w:t>housing</w:t>
      </w:r>
      <w:r>
        <w:rPr>
          <w:spacing w:val="26"/>
          <w:sz w:val="15"/>
        </w:rPr>
        <w:t> </w:t>
      </w:r>
      <w:r>
        <w:rPr>
          <w:spacing w:val="-2"/>
          <w:sz w:val="15"/>
        </w:rPr>
        <w:t>counselors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Provided</w:t>
      </w:r>
      <w:r>
        <w:rPr>
          <w:spacing w:val="26"/>
          <w:sz w:val="15"/>
        </w:rPr>
        <w:t> </w:t>
      </w:r>
      <w:r>
        <w:rPr>
          <w:sz w:val="15"/>
        </w:rPr>
        <w:t>translation</w:t>
      </w:r>
      <w:r>
        <w:rPr>
          <w:spacing w:val="27"/>
          <w:sz w:val="15"/>
        </w:rPr>
        <w:t> </w:t>
      </w:r>
      <w:r>
        <w:rPr>
          <w:sz w:val="15"/>
        </w:rPr>
        <w:t>support</w:t>
      </w:r>
      <w:r>
        <w:rPr>
          <w:spacing w:val="26"/>
          <w:sz w:val="15"/>
        </w:rPr>
        <w:t> </w:t>
      </w:r>
      <w:r>
        <w:rPr>
          <w:sz w:val="15"/>
        </w:rPr>
        <w:t>for</w:t>
      </w:r>
      <w:r>
        <w:rPr>
          <w:spacing w:val="21"/>
          <w:sz w:val="15"/>
        </w:rPr>
        <w:t> </w:t>
      </w:r>
      <w:r>
        <w:rPr>
          <w:sz w:val="15"/>
        </w:rPr>
        <w:t>internal</w:t>
      </w:r>
      <w:r>
        <w:rPr>
          <w:spacing w:val="18"/>
          <w:sz w:val="15"/>
        </w:rPr>
        <w:t> </w:t>
      </w:r>
      <w:r>
        <w:rPr>
          <w:sz w:val="15"/>
        </w:rPr>
        <w:t>documents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26"/>
          <w:sz w:val="15"/>
        </w:rPr>
        <w:t> </w:t>
      </w:r>
      <w:r>
        <w:rPr>
          <w:sz w:val="15"/>
        </w:rPr>
        <w:t>public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events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Maintained</w:t>
      </w:r>
      <w:r>
        <w:rPr>
          <w:spacing w:val="26"/>
          <w:sz w:val="15"/>
        </w:rPr>
        <w:t> </w:t>
      </w:r>
      <w:r>
        <w:rPr>
          <w:sz w:val="15"/>
        </w:rPr>
        <w:t>database</w:t>
      </w:r>
      <w:r>
        <w:rPr>
          <w:spacing w:val="26"/>
          <w:sz w:val="15"/>
        </w:rPr>
        <w:t> </w:t>
      </w:r>
      <w:r>
        <w:rPr>
          <w:sz w:val="15"/>
        </w:rPr>
        <w:t>of</w:t>
      </w:r>
      <w:r>
        <w:rPr>
          <w:spacing w:val="21"/>
          <w:sz w:val="15"/>
        </w:rPr>
        <w:t> </w:t>
      </w:r>
      <w:r>
        <w:rPr>
          <w:sz w:val="15"/>
        </w:rPr>
        <w:t>client</w:t>
      </w:r>
      <w:r>
        <w:rPr>
          <w:spacing w:val="27"/>
          <w:sz w:val="15"/>
        </w:rPr>
        <w:t> </w:t>
      </w:r>
      <w:r>
        <w:rPr>
          <w:sz w:val="15"/>
        </w:rPr>
        <w:t>service</w:t>
      </w:r>
      <w:r>
        <w:rPr>
          <w:spacing w:val="26"/>
          <w:sz w:val="15"/>
        </w:rPr>
        <w:t> </w:t>
      </w:r>
      <w:r>
        <w:rPr>
          <w:sz w:val="15"/>
        </w:rPr>
        <w:t>outcomes</w:t>
      </w:r>
      <w:r>
        <w:rPr>
          <w:spacing w:val="26"/>
          <w:sz w:val="15"/>
        </w:rPr>
        <w:t> </w:t>
      </w:r>
      <w:r>
        <w:rPr>
          <w:sz w:val="15"/>
        </w:rPr>
        <w:t>for</w:t>
      </w:r>
      <w:r>
        <w:rPr>
          <w:spacing w:val="20"/>
          <w:sz w:val="15"/>
        </w:rPr>
        <w:t> </w:t>
      </w:r>
      <w:r>
        <w:rPr>
          <w:sz w:val="15"/>
        </w:rPr>
        <w:t>grant</w:t>
      </w:r>
      <w:r>
        <w:rPr>
          <w:spacing w:val="26"/>
          <w:sz w:val="15"/>
        </w:rPr>
        <w:t> </w:t>
      </w:r>
      <w:r>
        <w:rPr>
          <w:sz w:val="15"/>
        </w:rPr>
        <w:t>funding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reports</w:t>
      </w:r>
    </w:p>
    <w:p>
      <w:pPr>
        <w:pStyle w:val="BodyText"/>
        <w:spacing w:before="10"/>
        <w:rPr>
          <w:sz w:val="16"/>
        </w:rPr>
      </w:pPr>
    </w:p>
    <w:p>
      <w:pPr>
        <w:pStyle w:val="Heading1"/>
      </w:pPr>
      <w:r>
        <w:rPr>
          <w:color w:val="A26E00"/>
          <w:w w:val="105"/>
          <w:sz w:val="20"/>
        </w:rPr>
        <w:t>K</w:t>
      </w:r>
      <w:r>
        <w:rPr>
          <w:color w:val="A26E00"/>
          <w:w w:val="105"/>
        </w:rPr>
        <w:t>ey</w:t>
      </w:r>
      <w:r>
        <w:rPr>
          <w:color w:val="A26E00"/>
          <w:spacing w:val="1"/>
          <w:w w:val="105"/>
        </w:rPr>
        <w:t> </w:t>
      </w:r>
      <w:r>
        <w:rPr>
          <w:color w:val="A26E00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275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152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Bilingual</w:t>
      </w:r>
      <w:r>
        <w:rPr>
          <w:spacing w:val="30"/>
          <w:sz w:val="15"/>
        </w:rPr>
        <w:t> </w:t>
      </w:r>
      <w:r>
        <w:rPr>
          <w:spacing w:val="-2"/>
          <w:sz w:val="15"/>
        </w:rPr>
        <w:t>correspondence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5"/>
        </w:rPr>
        <w:t>Document</w:t>
      </w:r>
      <w:r>
        <w:rPr>
          <w:spacing w:val="30"/>
          <w:sz w:val="15"/>
        </w:rPr>
        <w:t> </w:t>
      </w:r>
      <w:r>
        <w:rPr>
          <w:spacing w:val="-2"/>
          <w:sz w:val="15"/>
        </w:rPr>
        <w:t>translation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02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Grant</w:t>
      </w:r>
      <w:r>
        <w:rPr>
          <w:spacing w:val="3"/>
          <w:sz w:val="15"/>
        </w:rPr>
        <w:t> </w:t>
      </w:r>
      <w:r>
        <w:rPr>
          <w:spacing w:val="-2"/>
          <w:sz w:val="15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2"/>
          <w:w w:val="105"/>
          <w:sz w:val="15"/>
        </w:rPr>
        <w:t>Spanish-English</w:t>
      </w:r>
      <w:r>
        <w:rPr>
          <w:spacing w:val="30"/>
          <w:w w:val="105"/>
          <w:sz w:val="15"/>
        </w:rPr>
        <w:t> </w:t>
      </w:r>
      <w:r>
        <w:rPr>
          <w:spacing w:val="-2"/>
          <w:w w:val="105"/>
          <w:sz w:val="15"/>
        </w:rPr>
        <w:t>support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152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z w:val="15"/>
        </w:rPr>
        <w:t>Client</w:t>
      </w:r>
      <w:r>
        <w:rPr>
          <w:spacing w:val="8"/>
          <w:sz w:val="15"/>
        </w:rPr>
        <w:t> </w:t>
      </w:r>
      <w:r>
        <w:rPr>
          <w:spacing w:val="-2"/>
          <w:sz w:val="15"/>
        </w:rPr>
        <w:t>intake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Event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Outreach</w:t>
      </w:r>
      <w:r>
        <w:rPr>
          <w:spacing w:val="33"/>
          <w:sz w:val="15"/>
        </w:rPr>
        <w:t> </w:t>
      </w:r>
      <w:r>
        <w:rPr>
          <w:spacing w:val="-2"/>
          <w:sz w:val="15"/>
        </w:rPr>
        <w:t>scheduling</w:t>
      </w:r>
    </w:p>
    <w:p>
      <w:pPr>
        <w:pStyle w:val="ListParagraph"/>
        <w:spacing w:after="0" w:line="331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275"/>
          <w:cols w:num="2" w:equalWidth="0">
            <w:col w:w="2530" w:space="874"/>
            <w:col w:w="6391"/>
          </w:cols>
        </w:sectPr>
      </w:pPr>
    </w:p>
    <w:p>
      <w:pPr>
        <w:pStyle w:val="Heading1"/>
        <w:spacing w:before="1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12482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12482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795,0,16858,390,16858,390,12795,390,0xe" filled="true" fillcolor="#a26e00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5114924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2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6267449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93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7134224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61.7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A26E00"/>
          <w:spacing w:val="-2"/>
          <w:w w:val="105"/>
          <w:sz w:val="20"/>
        </w:rPr>
        <w:t>E</w:t>
      </w:r>
      <w:r>
        <w:rPr>
          <w:color w:val="A26E00"/>
          <w:spacing w:val="-2"/>
          <w:w w:val="105"/>
        </w:rPr>
        <w:t>ducation</w:t>
      </w:r>
    </w:p>
    <w:p>
      <w:pPr>
        <w:pStyle w:val="BodyText"/>
        <w:spacing w:before="68"/>
        <w:rPr>
          <w:rFonts w:ascii="Arial"/>
          <w:b/>
          <w:sz w:val="16"/>
        </w:rPr>
      </w:pPr>
    </w:p>
    <w:p>
      <w:pPr>
        <w:pStyle w:val="BodyText"/>
        <w:spacing w:line="290" w:lineRule="auto"/>
        <w:ind w:left="358" w:right="3278"/>
      </w:pPr>
      <w:r>
        <w:rPr/>
        <w:t>Associate</w:t>
      </w:r>
      <w:r>
        <w:rPr>
          <w:spacing w:val="21"/>
        </w:rPr>
        <w:t> </w:t>
      </w:r>
      <w:r>
        <w:rPr/>
        <w:t>of Arts</w:t>
      </w:r>
      <w:r>
        <w:rPr>
          <w:spacing w:val="21"/>
        </w:rPr>
        <w:t> </w:t>
      </w:r>
      <w:r>
        <w:rPr/>
        <w:t>(A.A.)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Business</w:t>
      </w:r>
      <w:r>
        <w:rPr>
          <w:spacing w:val="21"/>
        </w:rPr>
        <w:t> </w:t>
      </w:r>
      <w:r>
        <w:rPr/>
        <w:t>Communication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Miami</w:t>
      </w:r>
      <w:r>
        <w:rPr>
          <w:spacing w:val="21"/>
        </w:rPr>
        <w:t> </w:t>
      </w:r>
      <w:r>
        <w:rPr/>
        <w:t>Dade</w:t>
      </w:r>
      <w:r>
        <w:rPr>
          <w:spacing w:val="21"/>
        </w:rPr>
        <w:t> </w:t>
      </w:r>
      <w:r>
        <w:rPr/>
        <w:t>College,</w:t>
      </w:r>
      <w:r>
        <w:rPr>
          <w:spacing w:val="21"/>
        </w:rPr>
        <w:t> </w:t>
      </w:r>
      <w:r>
        <w:rPr/>
        <w:t>Miami,</w:t>
      </w:r>
      <w:r>
        <w:rPr>
          <w:spacing w:val="21"/>
        </w:rPr>
        <w:t> </w:t>
      </w:r>
      <w:r>
        <w:rPr/>
        <w:t>FL May</w:t>
      </w:r>
      <w:r>
        <w:rPr>
          <w:spacing w:val="-7"/>
        </w:rPr>
        <w:t> </w:t>
      </w:r>
      <w:r>
        <w:rPr/>
        <w:t>2013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Heading1"/>
      </w:pPr>
      <w:r>
        <w:rPr>
          <w:color w:val="A26E00"/>
          <w:spacing w:val="-2"/>
          <w:w w:val="110"/>
          <w:sz w:val="20"/>
        </w:rPr>
        <w:t>C</w:t>
      </w:r>
      <w:r>
        <w:rPr>
          <w:color w:val="A26E00"/>
          <w:spacing w:val="-2"/>
          <w:w w:val="110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52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Community</w:t>
      </w:r>
      <w:r>
        <w:rPr>
          <w:spacing w:val="22"/>
          <w:sz w:val="15"/>
        </w:rPr>
        <w:t> </w:t>
      </w:r>
      <w:r>
        <w:rPr>
          <w:sz w:val="15"/>
        </w:rPr>
        <w:t>Interpreter</w:t>
      </w:r>
      <w:r>
        <w:rPr>
          <w:spacing w:val="22"/>
          <w:sz w:val="15"/>
        </w:rPr>
        <w:t> </w:t>
      </w:r>
      <w:r>
        <w:rPr>
          <w:sz w:val="15"/>
        </w:rPr>
        <w:t>Certificate,</w:t>
      </w:r>
      <w:r>
        <w:rPr>
          <w:spacing w:val="29"/>
          <w:sz w:val="15"/>
        </w:rPr>
        <w:t> </w:t>
      </w:r>
      <w:r>
        <w:rPr>
          <w:sz w:val="15"/>
        </w:rPr>
        <w:t>Florida</w:t>
      </w:r>
      <w:r>
        <w:rPr>
          <w:spacing w:val="30"/>
          <w:sz w:val="15"/>
        </w:rPr>
        <w:t> </w:t>
      </w:r>
      <w:r>
        <w:rPr>
          <w:sz w:val="15"/>
        </w:rPr>
        <w:t>Language</w:t>
      </w:r>
      <w:r>
        <w:rPr>
          <w:spacing w:val="20"/>
          <w:sz w:val="15"/>
        </w:rPr>
        <w:t> </w:t>
      </w:r>
      <w:r>
        <w:rPr>
          <w:sz w:val="15"/>
        </w:rPr>
        <w:t>Access</w:t>
      </w:r>
      <w:r>
        <w:rPr>
          <w:spacing w:val="29"/>
          <w:sz w:val="15"/>
        </w:rPr>
        <w:t> </w:t>
      </w:r>
      <w:r>
        <w:rPr>
          <w:sz w:val="15"/>
        </w:rPr>
        <w:t>Institute,</w:t>
      </w:r>
      <w:r>
        <w:rPr>
          <w:spacing w:val="23"/>
          <w:sz w:val="15"/>
        </w:rPr>
        <w:t> </w:t>
      </w:r>
      <w:r>
        <w:rPr>
          <w:sz w:val="15"/>
        </w:rPr>
        <w:t>January</w:t>
      </w:r>
      <w:r>
        <w:rPr>
          <w:spacing w:val="22"/>
          <w:sz w:val="15"/>
        </w:rPr>
        <w:t> </w:t>
      </w:r>
      <w:r>
        <w:rPr>
          <w:spacing w:val="-4"/>
          <w:sz w:val="15"/>
        </w:rPr>
        <w:t>2015</w:t>
      </w:r>
    </w:p>
    <w:sectPr>
      <w:type w:val="continuous"/>
      <w:pgSz w:w="11920" w:h="16860"/>
      <w:pgMar w:top="0" w:bottom="0" w:left="85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 w:right="178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2026-02-12T22:43:45Z</dcterms:created>
  <dcterms:modified xsi:type="dcterms:W3CDTF">2026-02-12T22:43:45Z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