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8"/>
        <w:ind w:left="520" w:right="0" w:firstLine="0"/>
        <w:jc w:val="left"/>
        <w:rPr>
          <w:sz w:val="74"/>
        </w:rPr>
      </w:pPr>
      <w:r>
        <w:rPr>
          <w:rFonts w:ascii="Verdana"/>
          <w:b/>
          <w:color w:val="FFFFFF"/>
          <w:spacing w:val="12"/>
          <w:w w:val="95"/>
          <w:sz w:val="74"/>
        </w:rPr>
        <w:t>Jonathan</w:t>
      </w:r>
      <w:r>
        <w:rPr>
          <w:rFonts w:ascii="Verdana"/>
          <w:b/>
          <w:color w:val="FFFFFF"/>
          <w:spacing w:val="30"/>
          <w:w w:val="150"/>
          <w:sz w:val="74"/>
        </w:rPr>
        <w:t> </w:t>
      </w:r>
      <w:r>
        <w:rPr>
          <w:color w:val="FFFFFF"/>
          <w:spacing w:val="-4"/>
          <w:w w:val="110"/>
          <w:sz w:val="74"/>
        </w:rPr>
        <w:t>Hayes</w:t>
      </w:r>
    </w:p>
    <w:p>
      <w:pPr>
        <w:pStyle w:val="Heading1"/>
      </w:pPr>
      <w:r>
        <w:rPr>
          <w:color w:val="FFFFFF"/>
          <w:w w:val="90"/>
        </w:rPr>
        <w:t>Investment</w:t>
      </w:r>
      <w:r>
        <w:rPr>
          <w:color w:val="FFFFFF"/>
          <w:spacing w:val="20"/>
        </w:rPr>
        <w:t> </w:t>
      </w:r>
      <w:r>
        <w:rPr>
          <w:color w:val="FFFFFF"/>
          <w:spacing w:val="-2"/>
          <w:w w:val="95"/>
        </w:rPr>
        <w:t>Accountant</w:t>
      </w:r>
    </w:p>
    <w:p>
      <w:pPr>
        <w:spacing w:before="183"/>
        <w:ind w:left="520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color w:val="FFFFFF"/>
          <w:sz w:val="16"/>
        </w:rPr>
        <w:t>Investment</w:t>
      </w:r>
      <w:r>
        <w:rPr>
          <w:rFonts w:ascii="Verdana"/>
          <w:b/>
          <w:color w:val="FFFFFF"/>
          <w:spacing w:val="5"/>
          <w:sz w:val="16"/>
        </w:rPr>
        <w:t> </w:t>
      </w:r>
      <w:r>
        <w:rPr>
          <w:rFonts w:ascii="Verdana"/>
          <w:b/>
          <w:color w:val="FFFFFF"/>
          <w:sz w:val="16"/>
        </w:rPr>
        <w:t>accountant</w:t>
      </w:r>
      <w:r>
        <w:rPr>
          <w:rFonts w:ascii="Verdana"/>
          <w:b/>
          <w:color w:val="FFFFFF"/>
          <w:spacing w:val="5"/>
          <w:sz w:val="16"/>
        </w:rPr>
        <w:t> </w:t>
      </w:r>
      <w:r>
        <w:rPr>
          <w:rFonts w:ascii="Verdana"/>
          <w:b/>
          <w:color w:val="FFFFFF"/>
          <w:sz w:val="16"/>
        </w:rPr>
        <w:t>specializing</w:t>
      </w:r>
      <w:r>
        <w:rPr>
          <w:rFonts w:ascii="Verdana"/>
          <w:b/>
          <w:color w:val="FFFFFF"/>
          <w:spacing w:val="5"/>
          <w:sz w:val="16"/>
        </w:rPr>
        <w:t> </w:t>
      </w:r>
      <w:r>
        <w:rPr>
          <w:rFonts w:ascii="Verdana"/>
          <w:b/>
          <w:color w:val="FFFFFF"/>
          <w:sz w:val="16"/>
        </w:rPr>
        <w:t>in</w:t>
      </w:r>
      <w:r>
        <w:rPr>
          <w:rFonts w:ascii="Verdana"/>
          <w:b/>
          <w:color w:val="FFFFFF"/>
          <w:spacing w:val="5"/>
          <w:sz w:val="16"/>
        </w:rPr>
        <w:t> </w:t>
      </w:r>
      <w:r>
        <w:rPr>
          <w:rFonts w:ascii="Verdana"/>
          <w:b/>
          <w:color w:val="FFFFFF"/>
          <w:sz w:val="16"/>
        </w:rPr>
        <w:t>portfolio</w:t>
      </w:r>
      <w:r>
        <w:rPr>
          <w:rFonts w:ascii="Verdana"/>
          <w:b/>
          <w:color w:val="FFFFFF"/>
          <w:spacing w:val="5"/>
          <w:sz w:val="16"/>
        </w:rPr>
        <w:t> </w:t>
      </w:r>
      <w:r>
        <w:rPr>
          <w:rFonts w:ascii="Verdana"/>
          <w:b/>
          <w:color w:val="FFFFFF"/>
          <w:sz w:val="16"/>
        </w:rPr>
        <w:t>reconciliation</w:t>
      </w:r>
      <w:r>
        <w:rPr>
          <w:rFonts w:ascii="Verdana"/>
          <w:b/>
          <w:color w:val="FFFFFF"/>
          <w:spacing w:val="5"/>
          <w:sz w:val="16"/>
        </w:rPr>
        <w:t> </w:t>
      </w:r>
      <w:r>
        <w:rPr>
          <w:rFonts w:ascii="Verdana"/>
          <w:b/>
          <w:color w:val="FFFFFF"/>
          <w:sz w:val="16"/>
        </w:rPr>
        <w:t>and</w:t>
      </w:r>
      <w:r>
        <w:rPr>
          <w:rFonts w:ascii="Verdana"/>
          <w:b/>
          <w:color w:val="FFFFFF"/>
          <w:spacing w:val="5"/>
          <w:sz w:val="16"/>
        </w:rPr>
        <w:t> </w:t>
      </w:r>
      <w:r>
        <w:rPr>
          <w:rFonts w:ascii="Verdana"/>
          <w:b/>
          <w:color w:val="FFFFFF"/>
          <w:sz w:val="16"/>
        </w:rPr>
        <w:t>financial</w:t>
      </w:r>
      <w:r>
        <w:rPr>
          <w:rFonts w:ascii="Verdana"/>
          <w:b/>
          <w:color w:val="FFFFFF"/>
          <w:spacing w:val="5"/>
          <w:sz w:val="16"/>
        </w:rPr>
        <w:t> </w:t>
      </w:r>
      <w:r>
        <w:rPr>
          <w:rFonts w:ascii="Verdana"/>
          <w:b/>
          <w:color w:val="FFFFFF"/>
          <w:spacing w:val="-2"/>
          <w:sz w:val="16"/>
        </w:rPr>
        <w:t>reporting</w:t>
      </w:r>
    </w:p>
    <w:p>
      <w:pPr>
        <w:spacing w:line="259" w:lineRule="auto" w:before="24"/>
        <w:ind w:left="520" w:right="734" w:firstLine="0"/>
        <w:jc w:val="left"/>
        <w:rPr>
          <w:sz w:val="16"/>
        </w:rPr>
      </w:pPr>
      <w:r>
        <w:rPr>
          <w:color w:val="FFFFFF"/>
          <w:w w:val="125"/>
          <w:sz w:val="16"/>
        </w:rPr>
        <w:t>Investment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accountant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with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seven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years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of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experience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managing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financial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transactions,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reconciling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investment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portfolios, and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preparing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reports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for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asset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management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firms.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Skilled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in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analyzing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financial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data,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ensuring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compliance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with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SEC regulations,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and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optimizing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reporting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accuracy.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Adept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at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working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with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traders,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portfolio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managers,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and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auditors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to</w:t>
      </w:r>
      <w:r>
        <w:rPr>
          <w:color w:val="FFFFFF"/>
          <w:spacing w:val="40"/>
          <w:w w:val="125"/>
          <w:sz w:val="16"/>
        </w:rPr>
        <w:t> </w:t>
      </w:r>
      <w:r>
        <w:rPr>
          <w:color w:val="FFFFFF"/>
          <w:w w:val="125"/>
          <w:sz w:val="16"/>
        </w:rPr>
        <w:t>support sound</w:t>
      </w:r>
      <w:r>
        <w:rPr>
          <w:color w:val="FFFFFF"/>
          <w:spacing w:val="35"/>
          <w:w w:val="125"/>
          <w:sz w:val="16"/>
        </w:rPr>
        <w:t> </w:t>
      </w:r>
      <w:r>
        <w:rPr>
          <w:color w:val="FFFFFF"/>
          <w:w w:val="125"/>
          <w:sz w:val="16"/>
        </w:rPr>
        <w:t>investment</w:t>
      </w:r>
      <w:r>
        <w:rPr>
          <w:color w:val="FFFFFF"/>
          <w:spacing w:val="35"/>
          <w:w w:val="125"/>
          <w:sz w:val="16"/>
        </w:rPr>
        <w:t> </w:t>
      </w:r>
      <w:r>
        <w:rPr>
          <w:color w:val="FFFFFF"/>
          <w:w w:val="125"/>
          <w:sz w:val="16"/>
        </w:rPr>
        <w:t>decision-making.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4"/>
        <w:rPr>
          <w:sz w:val="18"/>
        </w:rPr>
      </w:pPr>
    </w:p>
    <w:p>
      <w:pPr>
        <w:spacing w:before="0"/>
        <w:ind w:left="948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2647949</wp:posOffset>
                </wp:positionH>
                <wp:positionV relativeFrom="paragraph">
                  <wp:posOffset>32693</wp:posOffset>
                </wp:positionV>
                <wp:extent cx="4920615" cy="2952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920615" cy="295275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88"/>
                              <w:ind w:left="181" w:right="0" w:firstLine="0"/>
                              <w:jc w:val="left"/>
                              <w:rPr>
                                <w:rFonts w:ascii="Verdan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2"/>
                                <w:w w:val="90"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3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-2"/>
                                <w:w w:val="95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8.499969pt;margin-top:2.574296pt;width:387.45pt;height:23.25pt;mso-position-horizontal-relative:page;mso-position-vertical-relative:paragraph;z-index:15730688" type="#_x0000_t202" id="docshape1" filled="true" fillcolor="#e69037" stroked="false">
                <v:textbox inset="0,0,0,0">
                  <w:txbxContent>
                    <w:p>
                      <w:pPr>
                        <w:spacing w:before="88"/>
                        <w:ind w:left="181" w:right="0" w:firstLine="0"/>
                        <w:jc w:val="left"/>
                        <w:rPr>
                          <w:rFonts w:ascii="Verdan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Verdana"/>
                          <w:b/>
                          <w:color w:val="FFFFFF"/>
                          <w:spacing w:val="2"/>
                          <w:w w:val="90"/>
                          <w:sz w:val="24"/>
                        </w:rPr>
                        <w:t>PROFESSIONAL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37"/>
                          <w:sz w:val="24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2"/>
                          <w:w w:val="95"/>
                          <w:sz w:val="24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25"/>
          <w:sz w:val="18"/>
        </w:rPr>
        <w:t>New</w:t>
      </w:r>
      <w:r>
        <w:rPr>
          <w:spacing w:val="-12"/>
          <w:w w:val="125"/>
          <w:sz w:val="18"/>
        </w:rPr>
        <w:t> </w:t>
      </w:r>
      <w:r>
        <w:rPr>
          <w:w w:val="125"/>
          <w:sz w:val="18"/>
        </w:rPr>
        <w:t>York,</w:t>
      </w:r>
      <w:r>
        <w:rPr>
          <w:spacing w:val="-11"/>
          <w:w w:val="125"/>
          <w:sz w:val="18"/>
        </w:rPr>
        <w:t> </w:t>
      </w:r>
      <w:r>
        <w:rPr>
          <w:spacing w:val="-5"/>
          <w:w w:val="125"/>
          <w:sz w:val="18"/>
        </w:rPr>
        <w:t>NY</w:t>
      </w:r>
    </w:p>
    <w:p>
      <w:pPr>
        <w:pStyle w:val="BodyText"/>
        <w:spacing w:before="57"/>
      </w:pPr>
    </w:p>
    <w:p>
      <w:pPr>
        <w:pStyle w:val="BodyText"/>
        <w:spacing w:after="0"/>
        <w:sectPr>
          <w:type w:val="continuous"/>
          <w:pgSz w:w="11920" w:h="16860"/>
          <w:pgMar w:top="740" w:bottom="280" w:left="0" w:right="0"/>
        </w:sectPr>
      </w:pPr>
    </w:p>
    <w:p>
      <w:pPr>
        <w:spacing w:before="109"/>
        <w:ind w:left="948" w:right="0" w:firstLine="0"/>
        <w:jc w:val="left"/>
        <w:rPr>
          <w:sz w:val="18"/>
        </w:rPr>
      </w:pPr>
      <w:r>
        <w:rPr>
          <w:spacing w:val="-2"/>
          <w:w w:val="115"/>
          <w:sz w:val="18"/>
        </w:rPr>
        <w:t>(123)</w:t>
      </w:r>
      <w:r>
        <w:rPr>
          <w:spacing w:val="3"/>
          <w:w w:val="115"/>
          <w:sz w:val="18"/>
        </w:rPr>
        <w:t> </w:t>
      </w:r>
      <w:r>
        <w:rPr>
          <w:spacing w:val="-2"/>
          <w:w w:val="115"/>
          <w:sz w:val="18"/>
        </w:rPr>
        <w:t>456-</w:t>
      </w:r>
      <w:r>
        <w:rPr>
          <w:spacing w:val="-4"/>
          <w:w w:val="115"/>
          <w:sz w:val="18"/>
        </w:rPr>
        <w:t>7890</w:t>
      </w:r>
    </w:p>
    <w:p>
      <w:pPr>
        <w:pStyle w:val="BodyText"/>
        <w:spacing w:before="160"/>
        <w:rPr>
          <w:sz w:val="18"/>
        </w:rPr>
      </w:pPr>
    </w:p>
    <w:p>
      <w:pPr>
        <w:spacing w:before="0"/>
        <w:ind w:left="948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ragraph">
                  <wp:posOffset>318874</wp:posOffset>
                </wp:positionV>
                <wp:extent cx="2352675" cy="2952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352675" cy="295275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88"/>
                              <w:ind w:left="185" w:right="0" w:firstLine="0"/>
                              <w:jc w:val="left"/>
                              <w:rPr>
                                <w:rFonts w:ascii="Verdan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-11"/>
                                <w:sz w:val="24"/>
                              </w:rPr>
                              <w:t>KEY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25.108255pt;width:185.25pt;height:23.25pt;mso-position-horizontal-relative:page;mso-position-vertical-relative:paragraph;z-index:15730176" type="#_x0000_t202" id="docshape2" filled="true" fillcolor="#e69037" stroked="false">
                <v:textbox inset="0,0,0,0">
                  <w:txbxContent>
                    <w:p>
                      <w:pPr>
                        <w:spacing w:before="88"/>
                        <w:ind w:left="185" w:right="0" w:firstLine="0"/>
                        <w:jc w:val="left"/>
                        <w:rPr>
                          <w:rFonts w:ascii="Verdan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Verdana"/>
                          <w:b/>
                          <w:color w:val="FFFFFF"/>
                          <w:spacing w:val="-11"/>
                          <w:sz w:val="24"/>
                        </w:rPr>
                        <w:t>KEY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Verdana"/>
                          <w:b/>
                          <w:color w:val="FFFFFF"/>
                          <w:spacing w:val="-2"/>
                          <w:sz w:val="24"/>
                        </w:rPr>
                        <w:t>SKILLS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hyperlink r:id="rId5">
        <w:r>
          <w:rPr>
            <w:spacing w:val="-2"/>
            <w:w w:val="125"/>
            <w:sz w:val="18"/>
          </w:rPr>
          <w:t>jonathan.hayes@email.com</w:t>
        </w:r>
      </w:hyperlink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6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13" w:lineRule="auto" w:before="0" w:after="0"/>
        <w:ind w:left="818" w:right="221" w:hanging="298"/>
        <w:jc w:val="left"/>
        <w:rPr>
          <w:rFonts w:ascii="Arial" w:hAnsi="Arial"/>
          <w:position w:val="-2"/>
          <w:sz w:val="31"/>
        </w:rPr>
      </w:pPr>
      <w:r>
        <w:rPr>
          <w:w w:val="125"/>
          <w:sz w:val="20"/>
        </w:rPr>
        <w:t>Portfolio accounting and </w:t>
      </w:r>
      <w:r>
        <w:rPr>
          <w:spacing w:val="-2"/>
          <w:w w:val="125"/>
          <w:sz w:val="20"/>
        </w:rPr>
        <w:t>reconciliation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13" w:lineRule="auto" w:before="66" w:after="0"/>
        <w:ind w:left="818" w:right="207" w:hanging="298"/>
        <w:jc w:val="left"/>
        <w:rPr>
          <w:rFonts w:ascii="Arial" w:hAnsi="Arial"/>
          <w:position w:val="-2"/>
          <w:sz w:val="31"/>
        </w:rPr>
      </w:pPr>
      <w:r>
        <w:rPr>
          <w:w w:val="125"/>
          <w:sz w:val="20"/>
        </w:rPr>
        <w:t>Investment</w:t>
      </w:r>
      <w:r>
        <w:rPr>
          <w:spacing w:val="-5"/>
          <w:w w:val="125"/>
          <w:sz w:val="20"/>
        </w:rPr>
        <w:t> </w:t>
      </w:r>
      <w:r>
        <w:rPr>
          <w:w w:val="125"/>
          <w:sz w:val="20"/>
        </w:rPr>
        <w:t>performance </w:t>
      </w:r>
      <w:r>
        <w:rPr>
          <w:spacing w:val="-2"/>
          <w:w w:val="125"/>
          <w:sz w:val="20"/>
        </w:rPr>
        <w:t>analysis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3" w:lineRule="exact" w:before="51" w:after="0"/>
        <w:ind w:left="816" w:right="0" w:hanging="296"/>
        <w:jc w:val="left"/>
        <w:rPr>
          <w:rFonts w:ascii="Arial" w:hAnsi="Arial"/>
          <w:position w:val="-2"/>
          <w:sz w:val="31"/>
        </w:rPr>
      </w:pPr>
      <w:r>
        <w:rPr>
          <w:w w:val="130"/>
          <w:sz w:val="20"/>
        </w:rPr>
        <w:t>GAAP</w:t>
      </w:r>
      <w:r>
        <w:rPr>
          <w:spacing w:val="-1"/>
          <w:w w:val="130"/>
          <w:sz w:val="20"/>
        </w:rPr>
        <w:t> </w:t>
      </w:r>
      <w:r>
        <w:rPr>
          <w:w w:val="130"/>
          <w:sz w:val="20"/>
        </w:rPr>
        <w:t>and</w:t>
      </w:r>
      <w:r>
        <w:rPr>
          <w:spacing w:val="-1"/>
          <w:w w:val="130"/>
          <w:sz w:val="20"/>
        </w:rPr>
        <w:t> </w:t>
      </w:r>
      <w:r>
        <w:rPr>
          <w:w w:val="130"/>
          <w:sz w:val="20"/>
        </w:rPr>
        <w:t>SEC</w:t>
      </w:r>
      <w:r>
        <w:rPr>
          <w:spacing w:val="-1"/>
          <w:w w:val="130"/>
          <w:sz w:val="20"/>
        </w:rPr>
        <w:t> </w:t>
      </w:r>
      <w:r>
        <w:rPr>
          <w:spacing w:val="-2"/>
          <w:w w:val="130"/>
          <w:sz w:val="20"/>
        </w:rPr>
        <w:t>compliance</w:t>
      </w:r>
    </w:p>
    <w:p>
      <w:pPr>
        <w:spacing w:line="249" w:lineRule="auto" w:before="147"/>
        <w:ind w:left="520" w:right="694" w:firstLine="0"/>
        <w:jc w:val="left"/>
        <w:rPr>
          <w:rFonts w:ascii="Verdana"/>
          <w:b/>
          <w:sz w:val="20"/>
        </w:rPr>
      </w:pPr>
      <w:r>
        <w:rPr/>
        <w:br w:type="column"/>
      </w:r>
      <w:r>
        <w:rPr>
          <w:rFonts w:ascii="Verdana"/>
          <w:b/>
          <w:spacing w:val="-6"/>
          <w:sz w:val="20"/>
        </w:rPr>
        <w:t>INVESTMENT ACCOUNTANT</w:t>
      </w:r>
      <w:r>
        <w:rPr>
          <w:rFonts w:ascii="Verdana"/>
          <w:b/>
          <w:spacing w:val="-8"/>
          <w:sz w:val="20"/>
        </w:rPr>
        <w:t> </w:t>
      </w:r>
      <w:r>
        <w:rPr>
          <w:spacing w:val="-6"/>
          <w:position w:val="2"/>
          <w:sz w:val="20"/>
        </w:rPr>
        <w:t>|</w:t>
      </w:r>
      <w:r>
        <w:rPr>
          <w:spacing w:val="15"/>
          <w:position w:val="2"/>
          <w:sz w:val="20"/>
        </w:rPr>
        <w:t> </w:t>
      </w:r>
      <w:r>
        <w:rPr>
          <w:rFonts w:ascii="Verdana"/>
          <w:b/>
          <w:spacing w:val="-6"/>
          <w:sz w:val="20"/>
        </w:rPr>
        <w:t>GLOBAL ASSET MANAGEMENT, NEW </w:t>
      </w:r>
      <w:r>
        <w:rPr>
          <w:rFonts w:ascii="Verdana"/>
          <w:b/>
          <w:sz w:val="20"/>
        </w:rPr>
        <w:t>YORK, NY</w:t>
      </w:r>
    </w:p>
    <w:p>
      <w:pPr>
        <w:pStyle w:val="BodyText"/>
        <w:spacing w:before="13"/>
        <w:ind w:left="520"/>
      </w:pPr>
      <w:r>
        <w:rPr>
          <w:w w:val="125"/>
        </w:rPr>
        <w:t>SEPTEMBER</w:t>
      </w:r>
      <w:r>
        <w:rPr>
          <w:spacing w:val="7"/>
          <w:w w:val="125"/>
        </w:rPr>
        <w:t> </w:t>
      </w:r>
      <w:r>
        <w:rPr>
          <w:w w:val="125"/>
        </w:rPr>
        <w:t>2020</w:t>
      </w:r>
      <w:r>
        <w:rPr>
          <w:spacing w:val="7"/>
          <w:w w:val="125"/>
        </w:rPr>
        <w:t> </w:t>
      </w:r>
      <w:r>
        <w:rPr>
          <w:w w:val="125"/>
        </w:rPr>
        <w:t>–</w:t>
      </w:r>
      <w:r>
        <w:rPr>
          <w:spacing w:val="7"/>
          <w:w w:val="125"/>
        </w:rPr>
        <w:t> </w:t>
      </w:r>
      <w:r>
        <w:rPr>
          <w:spacing w:val="-2"/>
          <w:w w:val="125"/>
        </w:rPr>
        <w:t>PRESENT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004" w:val="left" w:leader="none"/>
        </w:tabs>
        <w:spacing w:line="213" w:lineRule="auto" w:before="239" w:after="0"/>
        <w:ind w:left="1004" w:right="454" w:hanging="298"/>
        <w:jc w:val="left"/>
        <w:rPr>
          <w:rFonts w:ascii="Arial" w:hAnsi="Arial"/>
          <w:position w:val="-2"/>
          <w:sz w:val="31"/>
        </w:rPr>
      </w:pPr>
      <w:r>
        <w:rPr>
          <w:w w:val="125"/>
          <w:sz w:val="20"/>
        </w:rPr>
        <w:t>Reconcile investment transactions and portfolio holdings for funds totaling $2 billion in assets under management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004" w:val="left" w:leader="none"/>
        </w:tabs>
        <w:spacing w:line="213" w:lineRule="auto" w:before="66" w:after="0"/>
        <w:ind w:left="1004" w:right="1081" w:hanging="298"/>
        <w:jc w:val="left"/>
        <w:rPr>
          <w:rFonts w:ascii="Arial" w:hAnsi="Arial"/>
          <w:position w:val="-2"/>
          <w:sz w:val="31"/>
        </w:rPr>
      </w:pPr>
      <w:r>
        <w:rPr>
          <w:w w:val="125"/>
          <w:sz w:val="20"/>
        </w:rPr>
        <w:t>Ensure compliance with GAAP and SEC reporting standards, reducing regulatory discrepancies by 25%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  <w:tab w:pos="1004" w:val="left" w:leader="none"/>
        </w:tabs>
        <w:spacing w:line="211" w:lineRule="auto" w:before="85" w:after="0"/>
        <w:ind w:left="1004" w:right="1145" w:hanging="298"/>
        <w:jc w:val="left"/>
        <w:rPr>
          <w:rFonts w:ascii="Arial" w:hAnsi="Arial"/>
          <w:position w:val="-4"/>
          <w:sz w:val="31"/>
        </w:rPr>
      </w:pPr>
      <w:r>
        <w:rPr>
          <w:w w:val="125"/>
          <w:sz w:val="20"/>
        </w:rPr>
        <w:t>Work</w:t>
      </w:r>
      <w:r>
        <w:rPr>
          <w:spacing w:val="-5"/>
          <w:w w:val="125"/>
          <w:sz w:val="20"/>
        </w:rPr>
        <w:t> </w:t>
      </w:r>
      <w:r>
        <w:rPr>
          <w:w w:val="125"/>
          <w:sz w:val="20"/>
        </w:rPr>
        <w:t>with</w:t>
      </w:r>
      <w:r>
        <w:rPr>
          <w:spacing w:val="-5"/>
          <w:w w:val="125"/>
          <w:sz w:val="20"/>
        </w:rPr>
        <w:t> </w:t>
      </w:r>
      <w:r>
        <w:rPr>
          <w:w w:val="125"/>
          <w:sz w:val="20"/>
        </w:rPr>
        <w:t>portfolio</w:t>
      </w:r>
      <w:r>
        <w:rPr>
          <w:spacing w:val="-5"/>
          <w:w w:val="125"/>
          <w:sz w:val="20"/>
        </w:rPr>
        <w:t> </w:t>
      </w:r>
      <w:r>
        <w:rPr>
          <w:w w:val="125"/>
          <w:sz w:val="20"/>
        </w:rPr>
        <w:t>managers</w:t>
      </w:r>
      <w:r>
        <w:rPr>
          <w:spacing w:val="-5"/>
          <w:w w:val="125"/>
          <w:sz w:val="20"/>
        </w:rPr>
        <w:t> </w:t>
      </w:r>
      <w:r>
        <w:rPr>
          <w:w w:val="125"/>
          <w:sz w:val="20"/>
        </w:rPr>
        <w:t>to</w:t>
      </w:r>
      <w:r>
        <w:rPr>
          <w:spacing w:val="-5"/>
          <w:w w:val="125"/>
          <w:sz w:val="20"/>
        </w:rPr>
        <w:t> </w:t>
      </w:r>
      <w:r>
        <w:rPr>
          <w:w w:val="125"/>
          <w:sz w:val="20"/>
        </w:rPr>
        <w:t>analyze</w:t>
      </w:r>
      <w:r>
        <w:rPr>
          <w:spacing w:val="-5"/>
          <w:w w:val="125"/>
          <w:sz w:val="20"/>
        </w:rPr>
        <w:t> </w:t>
      </w:r>
      <w:r>
        <w:rPr>
          <w:w w:val="125"/>
          <w:sz w:val="20"/>
        </w:rPr>
        <w:t>fund</w:t>
      </w:r>
      <w:r>
        <w:rPr>
          <w:spacing w:val="-5"/>
          <w:w w:val="125"/>
          <w:sz w:val="20"/>
        </w:rPr>
        <w:t> </w:t>
      </w:r>
      <w:r>
        <w:rPr>
          <w:w w:val="125"/>
          <w:sz w:val="20"/>
        </w:rPr>
        <w:t>performance, providing key financial insights for investment decisions</w:t>
      </w:r>
    </w:p>
    <w:p>
      <w:pPr>
        <w:pStyle w:val="ListParagraph"/>
        <w:spacing w:after="0" w:line="211" w:lineRule="auto"/>
        <w:jc w:val="left"/>
        <w:rPr>
          <w:rFonts w:ascii="Arial" w:hAnsi="Arial"/>
          <w:position w:val="-4"/>
          <w:sz w:val="31"/>
        </w:rPr>
        <w:sectPr>
          <w:type w:val="continuous"/>
          <w:pgSz w:w="11920" w:h="16860"/>
          <w:pgMar w:top="740" w:bottom="280" w:left="0" w:right="0"/>
          <w:cols w:num="2" w:equalWidth="0">
            <w:col w:w="3587" w:space="58"/>
            <w:col w:w="8275"/>
          </w:cols>
        </w:sectPr>
      </w:pP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13" w:lineRule="auto" w:before="131" w:after="0"/>
        <w:ind w:left="818" w:right="771" w:hanging="298"/>
        <w:jc w:val="left"/>
        <w:rPr>
          <w:rFonts w:ascii="Arial" w:hAnsi="Arial"/>
          <w:position w:val="-2"/>
          <w:sz w:val="31"/>
        </w:rPr>
      </w:pPr>
      <w:r>
        <w:rPr>
          <w:rFonts w:ascii="Arial" w:hAnsi="Arial"/>
          <w:position w:val="-2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8448674"/>
                            <a:ext cx="7568565" cy="2256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56155">
                                <a:moveTo>
                                  <a:pt x="0" y="2255902"/>
                                </a:moveTo>
                                <a:lnTo>
                                  <a:pt x="7568183" y="2255902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59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C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1"/>
                            <a:ext cx="75685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0704830">
                                <a:moveTo>
                                  <a:pt x="2463863" y="8448662"/>
                                </a:moveTo>
                                <a:lnTo>
                                  <a:pt x="2454351" y="8448662"/>
                                </a:lnTo>
                                <a:lnTo>
                                  <a:pt x="2454351" y="10704563"/>
                                </a:lnTo>
                                <a:lnTo>
                                  <a:pt x="2463863" y="10704563"/>
                                </a:lnTo>
                                <a:lnTo>
                                  <a:pt x="2463863" y="8448662"/>
                                </a:lnTo>
                                <a:close/>
                              </a:path>
                              <a:path w="7568565" h="10704830">
                                <a:moveTo>
                                  <a:pt x="7568171" y="0"/>
                                </a:moveTo>
                                <a:lnTo>
                                  <a:pt x="2463863" y="0"/>
                                </a:lnTo>
                                <a:lnTo>
                                  <a:pt x="24543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6050"/>
                                </a:lnTo>
                                <a:lnTo>
                                  <a:pt x="2454351" y="2686050"/>
                                </a:lnTo>
                                <a:lnTo>
                                  <a:pt x="2463863" y="2686050"/>
                                </a:lnTo>
                                <a:lnTo>
                                  <a:pt x="7568171" y="268605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686049"/>
                            <a:ext cx="2457450" cy="576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5762625">
                                <a:moveTo>
                                  <a:pt x="2457449" y="5762624"/>
                                </a:moveTo>
                                <a:lnTo>
                                  <a:pt x="0" y="5762624"/>
                                </a:lnTo>
                                <a:lnTo>
                                  <a:pt x="0" y="0"/>
                                </a:lnTo>
                                <a:lnTo>
                                  <a:pt x="2457449" y="0"/>
                                </a:lnTo>
                                <a:lnTo>
                                  <a:pt x="2457449" y="5762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C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47924" y="2686049"/>
                            <a:ext cx="9525" cy="576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762625">
                                <a:moveTo>
                                  <a:pt x="9524" y="5762624"/>
                                </a:moveTo>
                                <a:lnTo>
                                  <a:pt x="0" y="576262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5762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819399"/>
                            <a:ext cx="161925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6" y="3248024"/>
                            <a:ext cx="161923" cy="165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4" y="361949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457449" y="2686049"/>
                            <a:ext cx="5111115" cy="576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115" h="5762625">
                                <a:moveTo>
                                  <a:pt x="5110733" y="5762624"/>
                                </a:moveTo>
                                <a:lnTo>
                                  <a:pt x="0" y="5762624"/>
                                </a:lnTo>
                                <a:lnTo>
                                  <a:pt x="0" y="0"/>
                                </a:lnTo>
                                <a:lnTo>
                                  <a:pt x="5110733" y="0"/>
                                </a:lnTo>
                                <a:lnTo>
                                  <a:pt x="5110733" y="5762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C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5pt;width:595.950pt;height:842.9pt;mso-position-horizontal-relative:page;mso-position-vertical-relative:page;z-index:-15779328" id="docshapegroup3" coordorigin="0,0" coordsize="11919,16858">
                <v:rect style="position:absolute;left:0;top:13305;width:11919;height:3553" id="docshape4" filled="true" fillcolor="#f7ece2" stroked="false">
                  <v:fill type="solid"/>
                </v:rect>
                <v:shape style="position:absolute;left:0;top:0;width:11919;height:16858" id="docshape5" coordorigin="0,0" coordsize="11919,16858" path="m3880,13305l3865,13305,3865,16858,3880,16858,3880,13305xm11918,0l3880,0,3865,0,0,0,0,4230,3865,4230,3880,4230,11918,4230,11918,0xe" filled="true" fillcolor="#424242" stroked="false">
                  <v:path arrowok="t"/>
                  <v:fill type="solid"/>
                </v:shape>
                <v:rect style="position:absolute;left:0;top:4230;width:3870;height:9075" id="docshape6" filled="true" fillcolor="#f7ece2" stroked="false">
                  <v:fill type="solid"/>
                </v:rect>
                <v:rect style="position:absolute;left:3855;top:4230;width:15;height:9075" id="docshape7" filled="true" fillcolor="#424242" stroked="false">
                  <v:fill type="solid"/>
                </v:rect>
                <v:shape style="position:absolute;left:525;top:4440;width:255;height:360" type="#_x0000_t75" id="docshape8" stroked="false">
                  <v:imagedata r:id="rId6" o:title=""/>
                </v:shape>
                <v:shape style="position:absolute;left:525;top:5115;width:255;height:261" type="#_x0000_t75" id="docshape9" stroked="false">
                  <v:imagedata r:id="rId7" o:title=""/>
                </v:shape>
                <v:shape style="position:absolute;left:525;top:5700;width:255;height:300" type="#_x0000_t75" id="docshape10" stroked="false">
                  <v:imagedata r:id="rId8" o:title=""/>
                </v:shape>
                <v:rect style="position:absolute;left:3870;top:4230;width:8049;height:9075" id="docshape11" filled="true" fillcolor="#f7ece2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125"/>
          <w:sz w:val="20"/>
        </w:rPr>
        <w:t>Financial statement </w:t>
      </w:r>
      <w:r>
        <w:rPr>
          <w:spacing w:val="-2"/>
          <w:w w:val="125"/>
          <w:sz w:val="20"/>
        </w:rPr>
        <w:t>preparation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199" w:lineRule="auto" w:before="98" w:after="0"/>
        <w:ind w:left="818" w:right="334" w:hanging="298"/>
        <w:jc w:val="left"/>
        <w:rPr>
          <w:rFonts w:ascii="Arial" w:hAnsi="Arial"/>
          <w:position w:val="-4"/>
          <w:sz w:val="31"/>
        </w:rPr>
      </w:pPr>
      <w:r>
        <w:rPr>
          <w:w w:val="130"/>
          <w:sz w:val="20"/>
        </w:rPr>
        <w:t>Hedge</w:t>
      </w:r>
      <w:r>
        <w:rPr>
          <w:spacing w:val="-15"/>
          <w:w w:val="130"/>
          <w:sz w:val="20"/>
        </w:rPr>
        <w:t> </w:t>
      </w:r>
      <w:r>
        <w:rPr>
          <w:w w:val="130"/>
          <w:sz w:val="20"/>
        </w:rPr>
        <w:t>fund</w:t>
      </w:r>
      <w:r>
        <w:rPr>
          <w:spacing w:val="-15"/>
          <w:w w:val="130"/>
          <w:sz w:val="20"/>
        </w:rPr>
        <w:t> </w:t>
      </w:r>
      <w:r>
        <w:rPr>
          <w:w w:val="130"/>
          <w:sz w:val="20"/>
        </w:rPr>
        <w:t>and</w:t>
      </w:r>
      <w:r>
        <w:rPr>
          <w:spacing w:val="-15"/>
          <w:w w:val="130"/>
          <w:sz w:val="20"/>
        </w:rPr>
        <w:t> </w:t>
      </w:r>
      <w:r>
        <w:rPr>
          <w:w w:val="130"/>
          <w:sz w:val="20"/>
        </w:rPr>
        <w:t>mutual fund accounting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13" w:lineRule="auto" w:before="84" w:after="0"/>
        <w:ind w:left="818" w:right="683" w:hanging="298"/>
        <w:jc w:val="left"/>
        <w:rPr>
          <w:rFonts w:ascii="Arial" w:hAnsi="Arial"/>
          <w:position w:val="-2"/>
          <w:sz w:val="31"/>
        </w:rPr>
      </w:pPr>
      <w:r>
        <w:rPr>
          <w:w w:val="130"/>
          <w:sz w:val="20"/>
        </w:rPr>
        <w:t>Risk</w:t>
      </w:r>
      <w:r>
        <w:rPr>
          <w:spacing w:val="-15"/>
          <w:w w:val="130"/>
          <w:sz w:val="20"/>
        </w:rPr>
        <w:t> </w:t>
      </w:r>
      <w:r>
        <w:rPr>
          <w:w w:val="130"/>
          <w:sz w:val="20"/>
        </w:rPr>
        <w:t>assessment</w:t>
      </w:r>
      <w:r>
        <w:rPr>
          <w:spacing w:val="-15"/>
          <w:w w:val="130"/>
          <w:sz w:val="20"/>
        </w:rPr>
        <w:t> </w:t>
      </w:r>
      <w:r>
        <w:rPr>
          <w:w w:val="130"/>
          <w:sz w:val="20"/>
        </w:rPr>
        <w:t>and </w:t>
      </w:r>
      <w:r>
        <w:rPr>
          <w:spacing w:val="-2"/>
          <w:w w:val="130"/>
          <w:sz w:val="20"/>
        </w:rPr>
        <w:t>valuation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0"/>
      </w:pP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30" w:lineRule="auto" w:before="0" w:after="0"/>
        <w:ind w:left="818" w:right="0" w:hanging="298"/>
        <w:jc w:val="left"/>
        <w:rPr>
          <w:rFonts w:ascii="Arial" w:hAnsi="Arial"/>
          <w:position w:val="-2"/>
          <w:sz w:val="31"/>
        </w:rPr>
      </w:pPr>
      <w:r>
        <w:rPr>
          <w:w w:val="120"/>
          <w:sz w:val="20"/>
        </w:rPr>
        <w:t>Chartered Financial Analyst (CFA) Level II Candidate </w:t>
      </w:r>
      <w:r>
        <w:rPr>
          <w:sz w:val="20"/>
        </w:rPr>
        <w:t>| </w:t>
      </w:r>
      <w:r>
        <w:rPr>
          <w:spacing w:val="-4"/>
          <w:w w:val="120"/>
          <w:sz w:val="20"/>
        </w:rPr>
        <w:t>2020</w:t>
      </w:r>
    </w:p>
    <w:p>
      <w:pPr>
        <w:spacing w:line="249" w:lineRule="auto" w:before="5"/>
        <w:ind w:left="488" w:right="334" w:firstLine="0"/>
        <w:jc w:val="left"/>
        <w:rPr>
          <w:rFonts w:ascii="Verdana"/>
          <w:b/>
          <w:sz w:val="20"/>
        </w:rPr>
      </w:pPr>
      <w:r>
        <w:rPr/>
        <w:br w:type="column"/>
      </w:r>
      <w:r>
        <w:rPr>
          <w:rFonts w:ascii="Verdana"/>
          <w:b/>
          <w:spacing w:val="-8"/>
          <w:sz w:val="20"/>
        </w:rPr>
        <w:t>ACCOUNTING</w:t>
      </w:r>
      <w:r>
        <w:rPr>
          <w:rFonts w:ascii="Verdana"/>
          <w:b/>
          <w:spacing w:val="-11"/>
          <w:sz w:val="20"/>
        </w:rPr>
        <w:t> </w:t>
      </w:r>
      <w:r>
        <w:rPr>
          <w:rFonts w:ascii="Verdana"/>
          <w:b/>
          <w:spacing w:val="-8"/>
          <w:sz w:val="20"/>
        </w:rPr>
        <w:t>ASSOCIATE</w:t>
      </w:r>
      <w:r>
        <w:rPr>
          <w:rFonts w:ascii="Verdana"/>
          <w:b/>
          <w:spacing w:val="-13"/>
          <w:sz w:val="20"/>
        </w:rPr>
        <w:t> </w:t>
      </w:r>
      <w:r>
        <w:rPr>
          <w:spacing w:val="-8"/>
          <w:position w:val="2"/>
          <w:sz w:val="20"/>
        </w:rPr>
        <w:t>|</w:t>
      </w:r>
      <w:r>
        <w:rPr>
          <w:spacing w:val="-4"/>
          <w:position w:val="2"/>
          <w:sz w:val="20"/>
        </w:rPr>
        <w:t> </w:t>
      </w:r>
      <w:r>
        <w:rPr>
          <w:rFonts w:ascii="Verdana"/>
          <w:b/>
          <w:spacing w:val="-8"/>
          <w:sz w:val="20"/>
        </w:rPr>
        <w:t>MADISON</w:t>
      </w:r>
      <w:r>
        <w:rPr>
          <w:rFonts w:ascii="Verdana"/>
          <w:b/>
          <w:spacing w:val="-11"/>
          <w:sz w:val="20"/>
        </w:rPr>
        <w:t> </w:t>
      </w:r>
      <w:r>
        <w:rPr>
          <w:rFonts w:ascii="Verdana"/>
          <w:b/>
          <w:spacing w:val="-8"/>
          <w:sz w:val="20"/>
        </w:rPr>
        <w:t>CAPITAL</w:t>
      </w:r>
      <w:r>
        <w:rPr>
          <w:rFonts w:ascii="Verdana"/>
          <w:b/>
          <w:spacing w:val="-11"/>
          <w:sz w:val="20"/>
        </w:rPr>
        <w:t> </w:t>
      </w:r>
      <w:r>
        <w:rPr>
          <w:rFonts w:ascii="Verdana"/>
          <w:b/>
          <w:spacing w:val="-8"/>
          <w:sz w:val="20"/>
        </w:rPr>
        <w:t>ADVISORS,</w:t>
      </w:r>
      <w:r>
        <w:rPr>
          <w:rFonts w:ascii="Verdana"/>
          <w:b/>
          <w:spacing w:val="-11"/>
          <w:sz w:val="20"/>
        </w:rPr>
        <w:t> </w:t>
      </w:r>
      <w:r>
        <w:rPr>
          <w:rFonts w:ascii="Verdana"/>
          <w:b/>
          <w:spacing w:val="-8"/>
          <w:sz w:val="20"/>
        </w:rPr>
        <w:t>NEW </w:t>
      </w:r>
      <w:r>
        <w:rPr>
          <w:rFonts w:ascii="Verdana"/>
          <w:b/>
          <w:sz w:val="20"/>
        </w:rPr>
        <w:t>YORK, NY</w:t>
      </w:r>
    </w:p>
    <w:p>
      <w:pPr>
        <w:pStyle w:val="BodyText"/>
        <w:spacing w:before="28"/>
        <w:ind w:left="488"/>
      </w:pPr>
      <w:r>
        <w:rPr>
          <w:w w:val="125"/>
        </w:rPr>
        <w:t>JULY</w:t>
      </w:r>
      <w:r>
        <w:rPr>
          <w:spacing w:val="-3"/>
          <w:w w:val="125"/>
        </w:rPr>
        <w:t> </w:t>
      </w:r>
      <w:r>
        <w:rPr>
          <w:w w:val="125"/>
        </w:rPr>
        <w:t>2017</w:t>
      </w:r>
      <w:r>
        <w:rPr>
          <w:spacing w:val="-3"/>
          <w:w w:val="125"/>
        </w:rPr>
        <w:t> </w:t>
      </w:r>
      <w:r>
        <w:rPr>
          <w:w w:val="125"/>
        </w:rPr>
        <w:t>–</w:t>
      </w:r>
      <w:r>
        <w:rPr>
          <w:spacing w:val="-3"/>
          <w:w w:val="125"/>
        </w:rPr>
        <w:t> </w:t>
      </w:r>
      <w:r>
        <w:rPr>
          <w:w w:val="125"/>
        </w:rPr>
        <w:t>SEPTEMBER</w:t>
      </w:r>
      <w:r>
        <w:rPr>
          <w:spacing w:val="-3"/>
          <w:w w:val="125"/>
        </w:rPr>
        <w:t> </w:t>
      </w:r>
      <w:r>
        <w:rPr>
          <w:spacing w:val="-4"/>
          <w:w w:val="125"/>
        </w:rPr>
        <w:t>2020</w:t>
      </w:r>
    </w:p>
    <w:p>
      <w:pPr>
        <w:pStyle w:val="ListParagraph"/>
        <w:numPr>
          <w:ilvl w:val="1"/>
          <w:numId w:val="1"/>
        </w:numPr>
        <w:tabs>
          <w:tab w:pos="969" w:val="left" w:leader="none"/>
          <w:tab w:pos="971" w:val="left" w:leader="none"/>
        </w:tabs>
        <w:spacing w:line="213" w:lineRule="auto" w:before="224" w:after="0"/>
        <w:ind w:left="971" w:right="742" w:hanging="298"/>
        <w:jc w:val="left"/>
        <w:rPr>
          <w:rFonts w:ascii="Arial" w:hAnsi="Arial"/>
          <w:position w:val="-2"/>
          <w:sz w:val="31"/>
        </w:rPr>
      </w:pPr>
      <w:r>
        <w:rPr>
          <w:w w:val="125"/>
          <w:sz w:val="20"/>
        </w:rPr>
        <w:t>Assisted in preparing financial statements for investment funds, improving reporting accuracy and efficiency</w:t>
      </w:r>
    </w:p>
    <w:p>
      <w:pPr>
        <w:pStyle w:val="ListParagraph"/>
        <w:numPr>
          <w:ilvl w:val="1"/>
          <w:numId w:val="1"/>
        </w:numPr>
        <w:tabs>
          <w:tab w:pos="969" w:val="left" w:leader="none"/>
          <w:tab w:pos="971" w:val="left" w:leader="none"/>
        </w:tabs>
        <w:spacing w:line="211" w:lineRule="auto" w:before="86" w:after="0"/>
        <w:ind w:left="971" w:right="354" w:hanging="298"/>
        <w:jc w:val="left"/>
        <w:rPr>
          <w:rFonts w:ascii="Arial" w:hAnsi="Arial"/>
          <w:position w:val="-4"/>
          <w:sz w:val="31"/>
        </w:rPr>
      </w:pPr>
      <w:r>
        <w:rPr>
          <w:rFonts w:ascii="Arial" w:hAnsi="Arial"/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360719</wp:posOffset>
                </wp:positionV>
                <wp:extent cx="2352675" cy="29527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352675" cy="295275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88"/>
                              <w:ind w:left="185" w:right="0" w:firstLine="0"/>
                              <w:jc w:val="left"/>
                              <w:rPr>
                                <w:rFonts w:ascii="Verdan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CERTIFICATIONS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28.403091pt;width:185.25pt;height:23.25pt;mso-position-horizontal-relative:page;mso-position-vertical-relative:paragraph;z-index:15729664" type="#_x0000_t202" id="docshape12" filled="true" fillcolor="#e69037" stroked="false">
                <v:textbox inset="0,0,0,0">
                  <w:txbxContent>
                    <w:p>
                      <w:pPr>
                        <w:spacing w:before="88"/>
                        <w:ind w:left="185" w:right="0" w:firstLine="0"/>
                        <w:jc w:val="left"/>
                        <w:rPr>
                          <w:rFonts w:ascii="Verdan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Verdana"/>
                          <w:b/>
                          <w:color w:val="FFFFFF"/>
                          <w:spacing w:val="-5"/>
                          <w:sz w:val="24"/>
                        </w:rPr>
                        <w:t>CERTIFICATIONS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25"/>
          <w:sz w:val="20"/>
        </w:rPr>
        <w:t>Reviewed trade settlements and reconciled discrepancies, reducing errors in investment accounting by 20%</w:t>
      </w:r>
    </w:p>
    <w:p>
      <w:pPr>
        <w:pStyle w:val="ListParagraph"/>
        <w:numPr>
          <w:ilvl w:val="1"/>
          <w:numId w:val="1"/>
        </w:numPr>
        <w:tabs>
          <w:tab w:pos="969" w:val="left" w:leader="none"/>
          <w:tab w:pos="971" w:val="left" w:leader="none"/>
        </w:tabs>
        <w:spacing w:line="213" w:lineRule="auto" w:before="66" w:after="0"/>
        <w:ind w:left="971" w:right="735" w:hanging="298"/>
        <w:jc w:val="left"/>
        <w:rPr>
          <w:rFonts w:ascii="Arial" w:hAnsi="Arial"/>
          <w:position w:val="-2"/>
          <w:sz w:val="31"/>
        </w:rPr>
      </w:pPr>
      <w:r>
        <w:rPr>
          <w:w w:val="125"/>
          <w:sz w:val="20"/>
        </w:rPr>
        <w:t>Supported auditors by compiling financial records and ensuring compliance with industry regulations</w:t>
      </w:r>
    </w:p>
    <w:p>
      <w:pPr>
        <w:pStyle w:val="BodyText"/>
        <w:spacing w:before="4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2647949</wp:posOffset>
                </wp:positionH>
                <wp:positionV relativeFrom="paragraph">
                  <wp:posOffset>103493</wp:posOffset>
                </wp:positionV>
                <wp:extent cx="4920615" cy="29527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920615" cy="295275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88"/>
                              <w:ind w:left="181" w:right="0" w:firstLine="0"/>
                              <w:jc w:val="left"/>
                              <w:rPr>
                                <w:rFonts w:ascii="Verdan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499969pt;margin-top:8.149073pt;width:387.45pt;height:23.25pt;mso-position-horizontal-relative:page;mso-position-vertical-relative:paragraph;z-index:-15728640;mso-wrap-distance-left:0;mso-wrap-distance-right:0" type="#_x0000_t202" id="docshape13" filled="true" fillcolor="#e69037" stroked="false">
                <v:textbox inset="0,0,0,0">
                  <w:txbxContent>
                    <w:p>
                      <w:pPr>
                        <w:spacing w:before="88"/>
                        <w:ind w:left="181" w:right="0" w:firstLine="0"/>
                        <w:jc w:val="left"/>
                        <w:rPr>
                          <w:rFonts w:ascii="Verdan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Verdana"/>
                          <w:b/>
                          <w:color w:val="FFFFFF"/>
                          <w:spacing w:val="-2"/>
                          <w:sz w:val="24"/>
                        </w:rPr>
                        <w:t>EDUCATION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783" w:val="left" w:leader="none"/>
          <w:tab w:pos="785" w:val="left" w:leader="none"/>
        </w:tabs>
        <w:spacing w:line="213" w:lineRule="auto" w:before="113" w:after="0"/>
        <w:ind w:left="785" w:right="3324" w:hanging="298"/>
        <w:jc w:val="left"/>
        <w:rPr>
          <w:rFonts w:ascii="Arial" w:hAnsi="Arial"/>
          <w:position w:val="-2"/>
          <w:sz w:val="31"/>
        </w:rPr>
      </w:pPr>
      <w:r>
        <w:rPr>
          <w:w w:val="120"/>
          <w:sz w:val="20"/>
        </w:rPr>
        <w:t>Bachelor of Science (B.S.) Accounting Columbia University, New York, NY </w:t>
      </w:r>
      <w:r>
        <w:rPr>
          <w:sz w:val="20"/>
        </w:rPr>
        <w:t>| </w:t>
      </w:r>
      <w:r>
        <w:rPr>
          <w:w w:val="120"/>
          <w:sz w:val="20"/>
        </w:rPr>
        <w:t>2017</w:t>
      </w:r>
    </w:p>
    <w:sectPr>
      <w:type w:val="continuous"/>
      <w:pgSz w:w="11920" w:h="16860"/>
      <w:pgMar w:top="740" w:bottom="280" w:left="0" w:right="0"/>
      <w:cols w:num="2" w:equalWidth="0">
        <w:col w:w="3638" w:space="40"/>
        <w:col w:w="82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18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1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2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1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5"/>
      <w:ind w:left="520"/>
      <w:outlineLvl w:val="1"/>
    </w:pPr>
    <w:rPr>
      <w:rFonts w:ascii="Verdana" w:hAnsi="Verdana" w:eastAsia="Verdana" w:cs="Verdan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6"/>
      <w:ind w:left="818" w:hanging="29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onathan.hayes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2026-03-10T12:16:19Z</dcterms:created>
  <dcterms:modified xsi:type="dcterms:W3CDTF">2026-03-10T12:16:19Z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2026-03-10T00:00:00Z</vt:filetime>
  </property>
  <property fmtid="{D5CDD505-2E9C-101B-9397-08002B2CF9AE}" pid="5" name="Producer">
    <vt:lpwstr>Skia/PDF m121</vt:lpwstr>
  </property>
</Properties>
</file>