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" w:right="13" w:firstLine="0"/>
        <w:jc w:val="center"/>
        <w:rPr>
          <w:sz w:val="74"/>
        </w:rPr>
      </w:pPr>
      <w:r>
        <w:rPr>
          <w:b/>
          <w:color w:val="FFFFFF"/>
          <w:sz w:val="74"/>
        </w:rPr>
        <w:t>Tyler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Sullivan</w:t>
      </w:r>
    </w:p>
    <w:p>
      <w:pPr>
        <w:pStyle w:val="Heading1"/>
      </w:pPr>
      <w:r>
        <w:rPr>
          <w:color w:val="FFFFFF"/>
        </w:rPr>
        <w:t>Reading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Interventionist</w:t>
      </w:r>
    </w:p>
    <w:p>
      <w:pPr>
        <w:spacing w:line="273" w:lineRule="auto" w:before="193"/>
        <w:ind w:left="590" w:right="722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 Reading Interventionist with proven track record of improving literacy outcomes for struggling K-5 students. Expertise in evidence-based interventions, quantitative data analysis, and multi-tiered support systems. Skilled in implementing research-backed strategies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including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Orton-Gillingham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Wilson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Reading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methodologies.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Proﬁcient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progress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monitoring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collaborative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instruction that consistently closes achievement gaps and builds reading conﬁdence.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283" w:right="283"/>
        </w:sectPr>
      </w:pPr>
    </w:p>
    <w:p>
      <w:pPr>
        <w:pStyle w:val="Heading2"/>
        <w:spacing w:before="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96073" y="5176300"/>
                            <a:ext cx="517271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5528310">
                                <a:moveTo>
                                  <a:pt x="0" y="5528275"/>
                                </a:moveTo>
                                <a:lnTo>
                                  <a:pt x="0" y="0"/>
                                </a:lnTo>
                                <a:lnTo>
                                  <a:pt x="5172110" y="0"/>
                                </a:lnTo>
                                <a:lnTo>
                                  <a:pt x="5172110" y="5528275"/>
                                </a:lnTo>
                                <a:lnTo>
                                  <a:pt x="0" y="552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52700">
                                <a:moveTo>
                                  <a:pt x="7568183" y="2552699"/>
                                </a:moveTo>
                                <a:lnTo>
                                  <a:pt x="0" y="2552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5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00299" y="2552699"/>
                            <a:ext cx="5168265" cy="742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7429500">
                                <a:moveTo>
                                  <a:pt x="5167883" y="7429499"/>
                                </a:moveTo>
                                <a:lnTo>
                                  <a:pt x="0" y="742949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7429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2400" id="docshapegroup1" coordorigin="0,0" coordsize="11919,16858">
                <v:rect style="position:absolute;left:3773;top:8151;width:8146;height:8706" id="docshape2" filled="true" fillcolor="#fae4cc" stroked="false">
                  <v:fill type="solid"/>
                </v:rect>
                <v:rect style="position:absolute;left:0;top:0;width:11919;height:4020" id="docshape3" filled="true" fillcolor="#424242" stroked="false">
                  <v:fill type="solid"/>
                </v:rect>
                <v:rect style="position:absolute;left:3780;top:4020;width:8139;height:11700" id="docshape4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B45E04"/>
          <w:spacing w:val="-2"/>
        </w:rPr>
        <w:t>Contact</w:t>
      </w:r>
    </w:p>
    <w:p>
      <w:pPr>
        <w:pStyle w:val="BodyText"/>
        <w:spacing w:before="45"/>
        <w:rPr>
          <w:sz w:val="22"/>
        </w:rPr>
      </w:pPr>
    </w:p>
    <w:p>
      <w:pPr>
        <w:pStyle w:val="BodyText"/>
        <w:ind w:left="346"/>
      </w:pPr>
      <w:r>
        <w:rPr>
          <w:position w:val="-7"/>
        </w:rPr>
        <w:drawing>
          <wp:inline distT="0" distB="0" distL="0" distR="0">
            <wp:extent cx="165348" cy="1619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(123) 456-7890</w:t>
      </w:r>
    </w:p>
    <w:p>
      <w:pPr>
        <w:pStyle w:val="BodyText"/>
        <w:spacing w:before="93"/>
      </w:pPr>
    </w:p>
    <w:p>
      <w:pPr>
        <w:pStyle w:val="BodyText"/>
        <w:ind w:left="347"/>
      </w:pPr>
      <w:r>
        <w:rPr>
          <w:position w:val="-9"/>
        </w:rPr>
        <w:drawing>
          <wp:inline distT="0" distB="0" distL="0" distR="0">
            <wp:extent cx="165344" cy="19041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email@example.com</w:t>
        </w:r>
      </w:hyperlink>
    </w:p>
    <w:p>
      <w:pPr>
        <w:pStyle w:val="BodyText"/>
        <w:spacing w:line="586" w:lineRule="exact" w:before="41"/>
        <w:ind w:left="346" w:right="655"/>
      </w:pPr>
      <w:r>
        <w:rPr>
          <w:position w:val="-5"/>
        </w:rPr>
        <w:drawing>
          <wp:inline distT="0" distB="0" distL="0" distR="0">
            <wp:extent cx="165273" cy="14310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sz w:val="20"/>
        </w:rPr>
        <w:t>  </w:t>
      </w:r>
      <w:r>
        <w:rPr>
          <w:color w:val="424242"/>
        </w:rPr>
        <w:t>LinkedIn</w:t>
      </w:r>
      <w:r>
        <w:rPr>
          <w:color w:val="424242"/>
          <w:spacing w:val="40"/>
        </w:rPr>
        <w:t> </w:t>
      </w:r>
      <w:r>
        <w:rPr>
          <w:color w:val="424242"/>
          <w:position w:val="3"/>
          <w:sz w:val="16"/>
        </w:rPr>
        <w:t>|</w:t>
      </w:r>
      <w:r>
        <w:rPr>
          <w:color w:val="424242"/>
          <w:spacing w:val="40"/>
          <w:position w:val="3"/>
          <w:sz w:val="16"/>
        </w:rPr>
        <w:t> </w:t>
      </w:r>
      <w:r>
        <w:rPr>
          <w:color w:val="424242"/>
        </w:rPr>
        <w:t>Portfolio </w:t>
      </w:r>
      <w:r>
        <w:rPr>
          <w:color w:val="424242"/>
          <w:position w:val="-6"/>
        </w:rPr>
        <w:drawing>
          <wp:inline distT="0" distB="0" distL="0" distR="0">
            <wp:extent cx="165334" cy="16192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6"/>
        </w:rPr>
      </w:r>
      <w:r>
        <w:rPr>
          <w:rFonts w:ascii="Times New Roman"/>
          <w:color w:val="424242"/>
          <w:spacing w:val="80"/>
        </w:rPr>
        <w:t> </w:t>
      </w:r>
      <w:r>
        <w:rPr>
          <w:color w:val="424242"/>
        </w:rPr>
        <w:t>Columbus, OH 43004</w:t>
      </w:r>
    </w:p>
    <w:p>
      <w:pPr>
        <w:pStyle w:val="BodyText"/>
        <w:spacing w:before="24"/>
      </w:pPr>
    </w:p>
    <w:p>
      <w:pPr>
        <w:pStyle w:val="Heading2"/>
      </w:pPr>
      <w:r>
        <w:rPr>
          <w:color w:val="B45E04"/>
          <w:spacing w:val="-2"/>
        </w:rPr>
        <w:t>Education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0" w:after="0"/>
        <w:ind w:left="646" w:right="45" w:hanging="298"/>
        <w:jc w:val="left"/>
        <w:rPr>
          <w:position w:val="-4"/>
          <w:sz w:val="31"/>
        </w:rPr>
      </w:pPr>
      <w:r>
        <w:rPr>
          <w:w w:val="105"/>
          <w:sz w:val="18"/>
        </w:rPr>
        <w:t>Bachelor of Arts in Elementary </w:t>
      </w:r>
      <w:r>
        <w:rPr>
          <w:spacing w:val="-2"/>
          <w:w w:val="105"/>
          <w:sz w:val="18"/>
        </w:rPr>
        <w:t>Education</w:t>
      </w:r>
    </w:p>
    <w:p>
      <w:pPr>
        <w:pStyle w:val="BodyText"/>
        <w:spacing w:before="134"/>
      </w:pPr>
    </w:p>
    <w:p>
      <w:pPr>
        <w:pStyle w:val="BodyText"/>
        <w:spacing w:line="261" w:lineRule="auto"/>
        <w:ind w:left="646"/>
      </w:pPr>
      <w:r>
        <w:rPr>
          <w:w w:val="105"/>
        </w:rPr>
        <w:t>University of North Carolina, Chapel Hill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spacing w:line="268" w:lineRule="auto"/>
        <w:ind w:left="646" w:right="17"/>
      </w:pPr>
      <w:r>
        <w:rPr>
          <w:w w:val="105"/>
        </w:rPr>
        <w:t>Relevant Coursework: Reading and Language Arts Methods, Assessment and Evaluation in Education, Child Development and Learning, Literacy Instruction for Diverse</w:t>
      </w:r>
      <w:r>
        <w:rPr>
          <w:spacing w:val="40"/>
          <w:w w:val="105"/>
        </w:rPr>
        <w:t> </w:t>
      </w:r>
      <w:r>
        <w:rPr>
          <w:w w:val="105"/>
        </w:rPr>
        <w:t>Learners, Educational Psychology, Classroom Management Strategies</w:t>
      </w:r>
    </w:p>
    <w:p>
      <w:pPr>
        <w:pStyle w:val="BodyText"/>
        <w:spacing w:before="69"/>
      </w:pPr>
    </w:p>
    <w:p>
      <w:pPr>
        <w:pStyle w:val="Heading2"/>
      </w:pPr>
      <w:r>
        <w:rPr>
          <w:color w:val="B45E04"/>
        </w:rPr>
        <w:t>Key</w:t>
      </w:r>
      <w:r>
        <w:rPr>
          <w:color w:val="B45E04"/>
          <w:spacing w:val="25"/>
        </w:rPr>
        <w:t> </w:t>
      </w:r>
      <w:r>
        <w:rPr>
          <w:color w:val="B45E04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246" w:after="0"/>
        <w:ind w:left="646" w:right="21" w:hanging="298"/>
        <w:jc w:val="left"/>
        <w:rPr>
          <w:position w:val="-4"/>
          <w:sz w:val="31"/>
        </w:rPr>
      </w:pPr>
      <w:r>
        <w:rPr>
          <w:w w:val="105"/>
          <w:sz w:val="18"/>
        </w:rPr>
        <w:t>Multi-tiered intervention systems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(RTI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Tier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Tier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3)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109" w:after="0"/>
        <w:ind w:left="646" w:right="709" w:hanging="298"/>
        <w:jc w:val="left"/>
        <w:rPr>
          <w:position w:val="-4"/>
          <w:sz w:val="31"/>
        </w:rPr>
      </w:pPr>
      <w:r>
        <w:rPr>
          <w:w w:val="105"/>
          <w:sz w:val="18"/>
        </w:rPr>
        <w:t>Diagnostic reading </w:t>
      </w:r>
      <w:r>
        <w:rPr>
          <w:sz w:val="18"/>
        </w:rPr>
        <w:t>assessments (DIBELS,</w:t>
      </w:r>
    </w:p>
    <w:p>
      <w:pPr>
        <w:pStyle w:val="BodyText"/>
        <w:spacing w:before="41"/>
        <w:ind w:left="646"/>
      </w:pPr>
      <w:r>
        <w:rPr/>
        <w:t>AimsWeb,</w:t>
      </w:r>
      <w:r>
        <w:rPr>
          <w:spacing w:val="31"/>
        </w:rPr>
        <w:t> </w:t>
      </w:r>
      <w:r>
        <w:rPr/>
        <w:t>CORE</w:t>
      </w:r>
      <w:r>
        <w:rPr>
          <w:spacing w:val="32"/>
        </w:rPr>
        <w:t> </w:t>
      </w:r>
      <w:r>
        <w:rPr>
          <w:spacing w:val="-2"/>
        </w:rPr>
        <w:t>Phonics)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102" w:after="0"/>
        <w:ind w:left="646" w:right="312" w:hanging="298"/>
        <w:jc w:val="left"/>
        <w:rPr>
          <w:position w:val="-4"/>
          <w:sz w:val="31"/>
        </w:rPr>
      </w:pPr>
      <w:r>
        <w:rPr>
          <w:w w:val="105"/>
          <w:sz w:val="18"/>
        </w:rPr>
        <w:t>Evidence-based reading programs (Wilson Reading,</w:t>
      </w:r>
    </w:p>
    <w:p>
      <w:pPr>
        <w:pStyle w:val="BodyText"/>
        <w:spacing w:before="41"/>
        <w:ind w:left="646"/>
      </w:pPr>
      <w:r>
        <w:rPr/>
        <w:t>Orton-</w:t>
      </w:r>
      <w:r>
        <w:rPr>
          <w:spacing w:val="-2"/>
        </w:rPr>
        <w:t>Gillingham)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75" w:after="0"/>
        <w:ind w:left="646" w:right="108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Progress monitoring and data analysis using Excel and</w:t>
      </w:r>
    </w:p>
    <w:p>
      <w:pPr>
        <w:pStyle w:val="BodyText"/>
        <w:spacing w:before="40"/>
        <w:ind w:left="646"/>
      </w:pPr>
      <w:r>
        <w:rPr>
          <w:w w:val="105"/>
        </w:rPr>
        <w:t>assessment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platforms</w:t>
      </w:r>
    </w:p>
    <w:p>
      <w:pPr>
        <w:pStyle w:val="Heading2"/>
        <w:spacing w:before="66"/>
      </w:pPr>
      <w:r>
        <w:rPr/>
        <w:br w:type="column"/>
      </w:r>
      <w:r>
        <w:rPr/>
        <w:t>Professional</w:t>
      </w:r>
      <w:r>
        <w:rPr>
          <w:spacing w:val="79"/>
        </w:rPr>
        <w:t> </w:t>
      </w:r>
      <w:r>
        <w:rPr>
          <w:spacing w:val="-2"/>
        </w:rPr>
        <w:t>Experience</w:t>
      </w:r>
    </w:p>
    <w:p>
      <w:pPr>
        <w:pStyle w:val="BodyText"/>
        <w:spacing w:before="44"/>
        <w:rPr>
          <w:sz w:val="22"/>
        </w:rPr>
      </w:pPr>
    </w:p>
    <w:p>
      <w:pPr>
        <w:pStyle w:val="BodyText"/>
        <w:spacing w:line="268" w:lineRule="auto" w:before="1"/>
        <w:ind w:left="51" w:right="843"/>
      </w:pPr>
      <w:r>
        <w:rPr/>
        <w:t>READING INTERVENTIONIST </w:t>
      </w:r>
      <w:r>
        <w:rPr>
          <w:position w:val="2"/>
        </w:rPr>
        <w:t>| </w:t>
      </w:r>
      <w:r>
        <w:rPr/>
        <w:t>GLENWOOD ELEMENTARY, COLUMBUS, OH AUGUST 2010 – PRESENT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68" w:lineRule="auto" w:before="1" w:after="0"/>
        <w:ind w:left="293" w:right="626" w:firstLine="0"/>
        <w:jc w:val="left"/>
        <w:rPr>
          <w:sz w:val="18"/>
        </w:rPr>
      </w:pPr>
      <w:r>
        <w:rPr>
          <w:w w:val="105"/>
          <w:sz w:val="18"/>
        </w:rPr>
        <w:t>Delivered targeted literacy interventions to 48 K-5 students annually, utilizing evidence-based strategies including Wilson Reading and Orton-Gillingham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methodologies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8" w:lineRule="auto" w:before="99" w:after="0"/>
        <w:ind w:left="293" w:right="96" w:firstLine="0"/>
        <w:jc w:val="left"/>
        <w:rPr>
          <w:sz w:val="18"/>
        </w:rPr>
      </w:pPr>
      <w:r>
        <w:rPr>
          <w:w w:val="105"/>
          <w:sz w:val="18"/>
        </w:rPr>
        <w:t>Achieved 78% success rate in advancing students one or more grade levels within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academic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systematic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phonics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fluency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8" w:lineRule="auto" w:before="75" w:after="0"/>
        <w:ind w:left="293" w:right="808" w:firstLine="0"/>
        <w:jc w:val="left"/>
        <w:rPr>
          <w:sz w:val="18"/>
        </w:rPr>
      </w:pPr>
      <w:r>
        <w:rPr>
          <w:w w:val="105"/>
          <w:sz w:val="18"/>
        </w:rPr>
        <w:t>Conducted bi-weekly progress monitoring assessments using DIBELS and AimsWeb, analyzing data trends to adjust instruction for maximum impact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61" w:lineRule="auto" w:before="90" w:after="0"/>
        <w:ind w:left="293" w:right="340" w:firstLine="0"/>
        <w:jc w:val="left"/>
        <w:rPr>
          <w:sz w:val="18"/>
        </w:rPr>
      </w:pPr>
      <w:r>
        <w:rPr>
          <w:w w:val="105"/>
          <w:sz w:val="18"/>
        </w:rPr>
        <w:t>Across four academic years, maintained caseload of 45-50 at-risk readers while achieving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consistent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gains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decoding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fluency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8" w:lineRule="auto" w:before="104" w:after="0"/>
        <w:ind w:left="293" w:right="96" w:firstLine="0"/>
        <w:jc w:val="left"/>
        <w:rPr>
          <w:sz w:val="18"/>
        </w:rPr>
      </w:pPr>
      <w:r>
        <w:rPr>
          <w:w w:val="105"/>
          <w:sz w:val="18"/>
        </w:rPr>
        <w:t>Collaborated with 12 classroom teachers quarterly to align Tier 2 interventions with core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literacy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curriculum,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classroom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8" w:lineRule="auto" w:before="74" w:after="0"/>
        <w:ind w:left="293" w:right="581" w:firstLine="0"/>
        <w:jc w:val="left"/>
        <w:rPr>
          <w:sz w:val="18"/>
        </w:rPr>
      </w:pPr>
      <w:r>
        <w:rPr>
          <w:w w:val="105"/>
          <w:sz w:val="18"/>
        </w:rPr>
        <w:t>Facilitated monthly parent workshops on home reading strategies, increasing family engagement participation by 35% over two-year period</w:t>
      </w:r>
    </w:p>
    <w:p>
      <w:pPr>
        <w:pStyle w:val="BodyText"/>
        <w:spacing w:before="36"/>
      </w:pPr>
    </w:p>
    <w:p>
      <w:pPr>
        <w:pStyle w:val="BodyText"/>
        <w:spacing w:line="268" w:lineRule="auto" w:before="1"/>
        <w:ind w:left="51" w:right="843"/>
      </w:pPr>
      <w:r>
        <w:rPr/>
        <w:t>LITERACY SUPPORT </w:t>
      </w:r>
      <w:r>
        <w:rPr>
          <w:position w:val="2"/>
        </w:rPr>
        <w:t>| </w:t>
      </w:r>
      <w:r>
        <w:rPr/>
        <w:t>NORTH GROVE ELEMENTARY, COLUMBUS, OH AUGUST 2017 – JUNE 2010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8" w:lineRule="auto" w:before="1" w:after="0"/>
        <w:ind w:left="293" w:right="632" w:firstLine="0"/>
        <w:jc w:val="left"/>
        <w:rPr>
          <w:sz w:val="18"/>
        </w:rPr>
      </w:pPr>
      <w:r>
        <w:rPr>
          <w:w w:val="105"/>
          <w:sz w:val="18"/>
        </w:rPr>
        <w:t>Provided intensive reading support to 35-40 Title I students annually through structured Orton-Gillingham and guided reading interventions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61" w:lineRule="auto" w:before="89" w:after="0"/>
        <w:ind w:left="293" w:right="814" w:firstLine="0"/>
        <w:jc w:val="left"/>
        <w:rPr>
          <w:sz w:val="18"/>
        </w:rPr>
      </w:pPr>
      <w:r>
        <w:rPr>
          <w:w w:val="105"/>
          <w:sz w:val="18"/>
        </w:rPr>
        <w:t>Over three-year tenure, consistently achieved 70% success rate in moving students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below-basic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basic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proficiency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levels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68" w:lineRule="auto" w:before="104" w:after="0"/>
        <w:ind w:left="293" w:right="327" w:firstLine="0"/>
        <w:jc w:val="left"/>
        <w:rPr>
          <w:sz w:val="18"/>
        </w:rPr>
      </w:pPr>
      <w:r>
        <w:rPr>
          <w:w w:val="105"/>
          <w:sz w:val="18"/>
        </w:rPr>
        <w:t>Established systematic communication protocols with parents, conducting 150+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family conferences annually to discuss reading progress and home practice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8" w:lineRule="auto" w:before="100" w:after="0"/>
        <w:ind w:left="293" w:right="300" w:firstLine="0"/>
        <w:jc w:val="left"/>
        <w:rPr>
          <w:sz w:val="18"/>
        </w:rPr>
      </w:pPr>
      <w:r>
        <w:rPr>
          <w:w w:val="105"/>
          <w:sz w:val="18"/>
        </w:rPr>
        <w:t>Participated in weekly Professional Learning Community meetings, collaborating with 8-member literacy team to enhance schoolwide reading instruction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78" w:lineRule="auto" w:before="74" w:after="0"/>
        <w:ind w:left="293" w:right="474" w:firstLine="0"/>
        <w:jc w:val="left"/>
        <w:rPr>
          <w:sz w:val="18"/>
        </w:rPr>
      </w:pPr>
      <w:r>
        <w:rPr>
          <w:w w:val="105"/>
          <w:sz w:val="18"/>
        </w:rPr>
        <w:t>Implemented evidence-based fluency interventions that improved oral reading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rates by average of 25 words per minute across student caseload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61" w:lineRule="auto" w:before="90" w:after="0"/>
        <w:ind w:left="293" w:right="152" w:firstLine="0"/>
        <w:jc w:val="left"/>
        <w:rPr>
          <w:sz w:val="18"/>
        </w:rPr>
      </w:pPr>
      <w:r>
        <w:rPr>
          <w:w w:val="105"/>
          <w:sz w:val="18"/>
        </w:rPr>
        <w:t>Supported schoolwide literacy initiatives by training 6 paraprofessionals in guided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reading techniques and progress monitoring procedures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61" w:lineRule="auto" w:before="104" w:after="0"/>
        <w:ind w:left="293" w:right="216" w:firstLine="0"/>
        <w:jc w:val="left"/>
        <w:rPr>
          <w:sz w:val="18"/>
        </w:rPr>
      </w:pPr>
      <w:r>
        <w:rPr>
          <w:w w:val="105"/>
          <w:sz w:val="18"/>
        </w:rPr>
        <w:t>During 2018-2019 academic year, contributed to 15% increase in school's overall reading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proficiency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targeted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intervention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programming</w:t>
      </w:r>
    </w:p>
    <w:p>
      <w:pPr>
        <w:pStyle w:val="BodyText"/>
        <w:spacing w:before="54"/>
      </w:pPr>
    </w:p>
    <w:p>
      <w:pPr>
        <w:pStyle w:val="Heading2"/>
      </w:pPr>
      <w:r>
        <w:rPr>
          <w:spacing w:val="-2"/>
        </w:rPr>
        <w:t>Certifications</w:t>
      </w: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343" w:lineRule="exact" w:before="208" w:after="0"/>
        <w:ind w:left="347" w:right="0" w:hanging="296"/>
        <w:jc w:val="left"/>
        <w:rPr>
          <w:sz w:val="18"/>
        </w:rPr>
      </w:pPr>
      <w:r>
        <w:rPr>
          <w:w w:val="105"/>
          <w:sz w:val="18"/>
        </w:rPr>
        <w:t>Ohio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Endorsement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Ohio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Department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Education</w:t>
      </w: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343" w:lineRule="exact" w:before="0" w:after="0"/>
        <w:ind w:left="347" w:right="0" w:hanging="296"/>
        <w:jc w:val="left"/>
        <w:rPr>
          <w:sz w:val="18"/>
        </w:rPr>
      </w:pPr>
      <w:r>
        <w:rPr>
          <w:w w:val="105"/>
          <w:sz w:val="18"/>
        </w:rPr>
        <w:t>Wilson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Level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Wilson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Language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820" w:bottom="280" w:left="283" w:right="283"/>
          <w:cols w:num="2" w:equalWidth="0">
            <w:col w:w="3319" w:space="363"/>
            <w:col w:w="767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2396070</wp:posOffset>
                </wp:positionH>
                <wp:positionV relativeFrom="page">
                  <wp:posOffset>0</wp:posOffset>
                </wp:positionV>
                <wp:extent cx="5172710" cy="107048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7271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2710" h="10704830">
                              <a:moveTo>
                                <a:pt x="5172113" y="0"/>
                              </a:moveTo>
                              <a:lnTo>
                                <a:pt x="0" y="0"/>
                              </a:lnTo>
                              <a:lnTo>
                                <a:pt x="0" y="5176304"/>
                              </a:lnTo>
                              <a:lnTo>
                                <a:pt x="0" y="10704576"/>
                              </a:lnTo>
                              <a:lnTo>
                                <a:pt x="5172100" y="10704576"/>
                              </a:lnTo>
                              <a:lnTo>
                                <a:pt x="5172100" y="5176304"/>
                              </a:lnTo>
                              <a:lnTo>
                                <a:pt x="5172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67007pt;margin-top:-.000035pt;width:407.3pt;height:842.9pt;mso-position-horizontal-relative:page;mso-position-vertical-relative:page;z-index:15729152" id="docshape5" coordorigin="3773,0" coordsize="8146,16858" path="m11918,0l3773,0,3773,8152,3773,16858,11918,16858,11918,8152,11918,0xe" filled="true" fillcolor="#fae4c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2"/>
        </w:numPr>
        <w:tabs>
          <w:tab w:pos="644" w:val="left" w:leader="none"/>
          <w:tab w:pos="646" w:val="left" w:leader="none"/>
        </w:tabs>
        <w:spacing w:line="201" w:lineRule="auto" w:before="0" w:after="0"/>
        <w:ind w:left="646" w:right="8480" w:hanging="298"/>
        <w:jc w:val="left"/>
        <w:rPr>
          <w:sz w:val="18"/>
        </w:rPr>
      </w:pPr>
      <w:r>
        <w:rPr>
          <w:w w:val="105"/>
          <w:sz w:val="18"/>
        </w:rPr>
        <w:t>Phonemic awareness and phonics instruction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1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3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13" w:right="9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2026-03-31T05:26:22Z</dcterms:created>
  <dcterms:modified xsi:type="dcterms:W3CDTF">2026-03-31T05:26:22Z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